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Pr="0041112F" w:rsidRDefault="0041112F" w:rsidP="00426D13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641C23" w:rsidRDefault="0041112F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933B14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24</w:t>
      </w:r>
      <w:r w:rsidR="003559BB">
        <w:rPr>
          <w:rFonts w:ascii="Times New Roman" w:hAnsi="Times New Roman" w:cs="Times New Roman"/>
          <w:color w:val="auto"/>
          <w:sz w:val="28"/>
          <w:szCs w:val="28"/>
          <w:u w:val="single"/>
        </w:rPr>
        <w:t>.09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15</w:t>
      </w:r>
      <w:r>
        <w:rPr>
          <w:rFonts w:ascii="Times New Roman" w:hAnsi="Times New Roman" w:cs="Times New Roman"/>
          <w:sz w:val="48"/>
          <w:szCs w:val="48"/>
        </w:rPr>
        <w:t>(152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0E5B97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35pt;margin-top:10.75pt;width:559.1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933B14" w:rsidRDefault="00933B14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933B14" w:rsidRDefault="00933B14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933B14" w:rsidRPr="00E66F3A" w:rsidRDefault="00933B14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7162EF" w:rsidRDefault="007162EF" w:rsidP="00E65345">
      <w:pPr>
        <w:pStyle w:val="ab"/>
        <w:rPr>
          <w:color w:val="auto"/>
        </w:rPr>
      </w:pPr>
    </w:p>
    <w:p w:rsidR="00933B14" w:rsidRDefault="00933B14" w:rsidP="003559BB">
      <w:pPr>
        <w:pStyle w:val="a8"/>
        <w:rPr>
          <w:sz w:val="16"/>
          <w:szCs w:val="16"/>
        </w:rPr>
      </w:pPr>
    </w:p>
    <w:p w:rsidR="00933B14" w:rsidRDefault="00933B14" w:rsidP="003559BB">
      <w:pPr>
        <w:pStyle w:val="a8"/>
        <w:rPr>
          <w:sz w:val="16"/>
          <w:szCs w:val="16"/>
        </w:rPr>
      </w:pPr>
    </w:p>
    <w:p w:rsidR="00933B14" w:rsidRPr="00933B14" w:rsidRDefault="00933B14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33B14" w:rsidRPr="00933B14" w:rsidRDefault="00933B14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933B14" w:rsidRPr="00933B14" w:rsidRDefault="00933B14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933B14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933B14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933B14" w:rsidRDefault="00933B14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F90E31" w:rsidRDefault="00F90E31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F90E31" w:rsidRPr="00F90E31" w:rsidRDefault="00F90E31" w:rsidP="00F90E3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F90E31">
        <w:rPr>
          <w:rFonts w:ascii="Times New Roman" w:hAnsi="Times New Roman" w:cs="Times New Roman"/>
          <w:sz w:val="16"/>
          <w:szCs w:val="16"/>
        </w:rPr>
        <w:t xml:space="preserve">Дума </w:t>
      </w:r>
    </w:p>
    <w:p w:rsidR="00F90E31" w:rsidRPr="00F90E31" w:rsidRDefault="00F90E31" w:rsidP="00F90E31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90E31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F90E31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F90E31" w:rsidRPr="00933B14" w:rsidRDefault="00F90E31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33B14" w:rsidRPr="00933B14" w:rsidRDefault="00933B14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33B14" w:rsidRPr="00933B14" w:rsidRDefault="00933B14" w:rsidP="00933B1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от 23.09.2020 года               № 119                               с. </w:t>
      </w:r>
      <w:proofErr w:type="spellStart"/>
      <w:r w:rsidRPr="00933B14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</w:p>
    <w:p w:rsidR="00933B14" w:rsidRPr="00933B14" w:rsidRDefault="00933B14" w:rsidP="00933B14">
      <w:pPr>
        <w:pStyle w:val="ab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</w:p>
    <w:p w:rsidR="00933B14" w:rsidRPr="00933B14" w:rsidRDefault="00933B14" w:rsidP="00933B14">
      <w:pPr>
        <w:pStyle w:val="ab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О внесении изменений и дополнений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в решение Думы Филипповского 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образования от 25 декабря 2019 года №95</w:t>
      </w:r>
    </w:p>
    <w:p w:rsidR="00933B14" w:rsidRPr="00933B14" w:rsidRDefault="00933B14" w:rsidP="00933B14">
      <w:pPr>
        <w:pStyle w:val="ab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«Об утверждении бюджета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муниципального образования на 2020 год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и на плановый период 2021 и 2022 годов»</w:t>
      </w:r>
    </w:p>
    <w:p w:rsidR="00933B14" w:rsidRDefault="00933B14" w:rsidP="007E3A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933B14" w:rsidRPr="00933B14" w:rsidRDefault="00933B14" w:rsidP="00933B1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33B14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2019 года № 95 «Об утверждении бюджета Филипповского муниципального образования на 2020 год и на плановый период 2021 и 2022 годов», руководствуясь Бюджетным кодексом Российской Федерации, ст.ст. 14, 35, 52 Федерального закона от 06 октября 2003 года №131-ФЗ</w:t>
      </w:r>
      <w:proofErr w:type="gramEnd"/>
      <w:r w:rsidRPr="00933B14">
        <w:rPr>
          <w:rFonts w:ascii="Times New Roman" w:hAnsi="Times New Roman" w:cs="Times New Roman"/>
          <w:sz w:val="16"/>
          <w:szCs w:val="16"/>
        </w:rPr>
        <w:t xml:space="preserve"> «</w:t>
      </w:r>
      <w:proofErr w:type="gramStart"/>
      <w:r w:rsidRPr="00933B14">
        <w:rPr>
          <w:rFonts w:ascii="Times New Roman" w:hAnsi="Times New Roman" w:cs="Times New Roman"/>
          <w:sz w:val="16"/>
          <w:szCs w:val="16"/>
        </w:rPr>
        <w:t>Об общих принципах организации местного самоуправления в Российской Федерации», Приказом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20 декабря</w:t>
      </w:r>
      <w:proofErr w:type="gramEnd"/>
      <w:r w:rsidRPr="00933B1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33B14">
        <w:rPr>
          <w:rFonts w:ascii="Times New Roman" w:hAnsi="Times New Roman" w:cs="Times New Roman"/>
          <w:sz w:val="16"/>
          <w:szCs w:val="16"/>
        </w:rPr>
        <w:t>2019 г. № 130-ОЗ «Об областном бюджете на 2020 год</w:t>
      </w:r>
      <w:r w:rsidRPr="00933B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на плановый период 2021 и 2022 годов</w:t>
      </w:r>
      <w:r w:rsidRPr="00933B14">
        <w:rPr>
          <w:rFonts w:ascii="Times New Roman" w:hAnsi="Times New Roman" w:cs="Times New Roman"/>
          <w:sz w:val="16"/>
          <w:szCs w:val="16"/>
        </w:rPr>
        <w:t xml:space="preserve">», решением Думы </w:t>
      </w:r>
      <w:proofErr w:type="spellStart"/>
      <w:r w:rsidRPr="00933B1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33B14">
        <w:rPr>
          <w:rFonts w:ascii="Times New Roman" w:hAnsi="Times New Roman" w:cs="Times New Roman"/>
          <w:sz w:val="16"/>
          <w:szCs w:val="16"/>
        </w:rPr>
        <w:t xml:space="preserve"> муниципального района от 18 декабря 2019 года № 27 «Об утверждении бюджета </w:t>
      </w:r>
      <w:proofErr w:type="spellStart"/>
      <w:r w:rsidRPr="00933B1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933B14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2020 год и на плановый период 2021 и 2022 годов»,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</w:t>
      </w:r>
      <w:proofErr w:type="gramEnd"/>
      <w:r w:rsidRPr="00933B14">
        <w:rPr>
          <w:rFonts w:ascii="Times New Roman" w:hAnsi="Times New Roman" w:cs="Times New Roman"/>
          <w:sz w:val="16"/>
          <w:szCs w:val="16"/>
        </w:rPr>
        <w:t xml:space="preserve"> Думы Филипповского муниципального образования от 26 мая 2016 года  № 115, Дума Филипповского муниципального образования</w:t>
      </w:r>
    </w:p>
    <w:p w:rsidR="00933B14" w:rsidRPr="00933B14" w:rsidRDefault="00933B14" w:rsidP="00933B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33B14"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933B14" w:rsidRPr="00933B14" w:rsidRDefault="00933B14" w:rsidP="00933B14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бюджета Филипповского муниципального образования от 25 декабря 2019 года №95 «Об утверждении бюджета Филипповского муниципального образования на 2020 год и на плановый период 2021 и 2022 годов»:</w:t>
      </w:r>
    </w:p>
    <w:p w:rsidR="00933B14" w:rsidRPr="00933B14" w:rsidRDefault="00933B14" w:rsidP="00933B14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Пункт 1 изложить в следующей редакции:</w:t>
      </w:r>
    </w:p>
    <w:p w:rsidR="00933B14" w:rsidRPr="00933B14" w:rsidRDefault="00933B14" w:rsidP="00933B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ab/>
        <w:t>«1. Утвердить основные характеристики бюджета Филипповского муниципального образования (далее – местный бюджет) на 2020 год:</w:t>
      </w:r>
    </w:p>
    <w:p w:rsidR="00933B14" w:rsidRPr="00933B14" w:rsidRDefault="00933B14" w:rsidP="00933B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33B14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8 670 тыс. рублей, из них объем межбюджетных трансфертов, получаемых из других бюджетов бюджетной системы Российской Федерации, в сумме 7 479 тыс. рублей, в том числе из областного бюджета в сумме 724 тыс. рублей, из бюджета муниципального района в сумме 6 772 тыс. рублей, возврат остатков субсидий, субвенций и иных межбюджетных трансфертов</w:t>
      </w:r>
      <w:proofErr w:type="gramEnd"/>
      <w:r w:rsidRPr="00933B14">
        <w:rPr>
          <w:rFonts w:ascii="Times New Roman" w:hAnsi="Times New Roman" w:cs="Times New Roman"/>
          <w:sz w:val="16"/>
          <w:szCs w:val="16"/>
        </w:rPr>
        <w:t>, имеющих целевое назначение, прошлых лет из бюджетов сельских поселений в сумме - 17 тыс. рублей;</w:t>
      </w:r>
    </w:p>
    <w:p w:rsidR="00933B14" w:rsidRPr="00933B14" w:rsidRDefault="00933B14" w:rsidP="00933B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9 536 тыс. рублей;</w:t>
      </w:r>
    </w:p>
    <w:p w:rsidR="00933B14" w:rsidRPr="00933B14" w:rsidRDefault="00933B14" w:rsidP="00933B1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размер дефицита бюджета в сумме 866 тыс. рублей, или 72,7 % утвержденного общего годового объема доходов местного бюджета без учета утвержденного объема безвозмездных поступлений.</w:t>
      </w:r>
    </w:p>
    <w:p w:rsidR="00933B14" w:rsidRPr="00933B14" w:rsidRDefault="00933B14" w:rsidP="00933B14">
      <w:pPr>
        <w:ind w:left="-142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Установить, что превышение дефицита бюджета Филипповского 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который по состоянию на 1 января 2020 года составил 807  тыс. рублей.</w:t>
      </w:r>
    </w:p>
    <w:p w:rsidR="00933B14" w:rsidRPr="00933B14" w:rsidRDefault="00933B14" w:rsidP="00933B14">
      <w:pPr>
        <w:ind w:left="-142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Дефицит местного бюджета с учетом суммы снижения остатков средств на счетах по учету средств местного бюджета составит 59 тыс. рублей, или 4,9 % утвержденного общего годового объема доходов местного бюджета без учета утвержденного объема безвозмездных поступлений</w:t>
      </w:r>
      <w:proofErr w:type="gramStart"/>
      <w:r w:rsidRPr="00933B14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933B14" w:rsidRPr="00933B14" w:rsidRDefault="00933B14" w:rsidP="00933B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1.2. Подпункт 7 пункта 15 изложить в следующей редакции: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«7) перераспределение бюджетных ассигнований между разделами, подразделами, целевыми статьями, группами видов расходов бюджета – в пределах общей суммы, утвержденной соответствующему главному распорядителю средств местного бюджета </w:t>
      </w:r>
      <w:r w:rsidRPr="00933B14">
        <w:rPr>
          <w:rFonts w:ascii="Times New Roman" w:hAnsi="Times New Roman" w:cs="Times New Roman"/>
          <w:snapToGrid w:val="0"/>
          <w:sz w:val="16"/>
          <w:szCs w:val="16"/>
        </w:rPr>
        <w:t>Филипповского муниципального образования</w:t>
      </w:r>
      <w:proofErr w:type="gramStart"/>
      <w:r w:rsidRPr="00933B14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933B14" w:rsidRPr="00933B14" w:rsidRDefault="00933B14" w:rsidP="00933B1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1.3. Пункт 16 изложить в следующей редакции:</w:t>
      </w:r>
    </w:p>
    <w:p w:rsidR="00933B14" w:rsidRPr="00933B14" w:rsidRDefault="00933B14" w:rsidP="00933B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lastRenderedPageBreak/>
        <w:t xml:space="preserve">«16. </w:t>
      </w:r>
      <w:r w:rsidRPr="00933B14">
        <w:rPr>
          <w:rFonts w:ascii="Times New Roman" w:hAnsi="Times New Roman" w:cs="Times New Roman"/>
          <w:snapToGrid w:val="0"/>
          <w:sz w:val="16"/>
          <w:szCs w:val="16"/>
        </w:rPr>
        <w:t>Установить предельный объем муниципального долга Филипповского муниципального образования (далее – муниципальный долг):</w:t>
      </w:r>
    </w:p>
    <w:p w:rsidR="00933B14" w:rsidRPr="00933B14" w:rsidRDefault="00933B14" w:rsidP="00933B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на 2020 год в сумме 596 тыс. рублей;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 xml:space="preserve">на 2021 год в </w:t>
      </w:r>
      <w:r w:rsidRPr="00933B14">
        <w:rPr>
          <w:rFonts w:ascii="Times New Roman" w:hAnsi="Times New Roman" w:cs="Times New Roman"/>
          <w:sz w:val="16"/>
          <w:szCs w:val="16"/>
        </w:rPr>
        <w:t>сумме</w:t>
      </w:r>
      <w:r w:rsidRPr="00933B14">
        <w:rPr>
          <w:rFonts w:ascii="Times New Roman" w:hAnsi="Times New Roman" w:cs="Times New Roman"/>
          <w:snapToGrid w:val="0"/>
          <w:sz w:val="16"/>
          <w:szCs w:val="16"/>
        </w:rPr>
        <w:t xml:space="preserve"> 573 тыс. рублей;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 xml:space="preserve">на 2022 год в </w:t>
      </w:r>
      <w:r w:rsidRPr="00933B14">
        <w:rPr>
          <w:rFonts w:ascii="Times New Roman" w:hAnsi="Times New Roman" w:cs="Times New Roman"/>
          <w:sz w:val="16"/>
          <w:szCs w:val="16"/>
        </w:rPr>
        <w:t>сумме</w:t>
      </w:r>
      <w:r w:rsidRPr="00933B14">
        <w:rPr>
          <w:rFonts w:ascii="Times New Roman" w:hAnsi="Times New Roman" w:cs="Times New Roman"/>
          <w:snapToGrid w:val="0"/>
          <w:sz w:val="16"/>
          <w:szCs w:val="16"/>
        </w:rPr>
        <w:t xml:space="preserve"> 590 тыс. рублей</w:t>
      </w:r>
      <w:r w:rsidRPr="00933B14">
        <w:rPr>
          <w:rFonts w:ascii="Times New Roman" w:hAnsi="Times New Roman" w:cs="Times New Roman"/>
          <w:sz w:val="16"/>
          <w:szCs w:val="16"/>
        </w:rPr>
        <w:t>.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>Установить верхний предел муниципального долга: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>по состоянию на 1 января 2021 года в размере 59 тыс. рублей, в том числе верхний предел долга по муниципальным гарантиям - 0 тыс. рублей;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>на 1 января 2022 года в размере 59 тыс. рублей, в том числе верхний предел долга по муниципальным гарантиям - 0 тыс. рублей;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>на 1 января 2023 года в размере 59 тыс. рублей, в том числе верхний предел долга по муниципальным гарантиям - 0 тыс. рублей.</w:t>
      </w:r>
    </w:p>
    <w:p w:rsidR="00933B14" w:rsidRPr="00933B14" w:rsidRDefault="00933B14" w:rsidP="00933B14">
      <w:pPr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>1.4. Приложения 1, 5-13 изложить в новой редакции (прилагаются).</w:t>
      </w:r>
    </w:p>
    <w:p w:rsidR="00933B14" w:rsidRPr="00933B14" w:rsidRDefault="00933B14" w:rsidP="00933B1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2. Опубликовать настоящее решение в периодическом печатном издании Филипповского муниципального образования «Информационный вестник».</w:t>
      </w:r>
    </w:p>
    <w:p w:rsidR="00933B14" w:rsidRPr="00933B14" w:rsidRDefault="00933B14" w:rsidP="00933B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официального опубликования в средствах массовой информации.</w:t>
      </w:r>
    </w:p>
    <w:p w:rsidR="00933B14" w:rsidRPr="00933B14" w:rsidRDefault="00933B14" w:rsidP="00933B14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933B14" w:rsidRPr="00933B14" w:rsidRDefault="00933B14" w:rsidP="00933B14">
      <w:pPr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Глава</w:t>
      </w:r>
      <w:r>
        <w:rPr>
          <w:rFonts w:ascii="Times New Roman" w:hAnsi="Times New Roman" w:cs="Times New Roman"/>
          <w:sz w:val="16"/>
          <w:szCs w:val="16"/>
        </w:rPr>
        <w:t xml:space="preserve"> Филипповского  </w:t>
      </w:r>
      <w:r w:rsidRPr="00933B14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                  А.А. Федосеев</w:t>
      </w:r>
    </w:p>
    <w:p w:rsidR="00933B14" w:rsidRPr="00933B14" w:rsidRDefault="00933B14" w:rsidP="00933B14">
      <w:pPr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napToGrid w:val="0"/>
          <w:sz w:val="16"/>
          <w:szCs w:val="16"/>
        </w:rPr>
        <w:t xml:space="preserve">Председатель Думы </w:t>
      </w:r>
      <w:r w:rsidRPr="00933B14">
        <w:rPr>
          <w:rFonts w:ascii="Times New Roman" w:hAnsi="Times New Roman" w:cs="Times New Roman"/>
          <w:sz w:val="16"/>
          <w:szCs w:val="16"/>
        </w:rPr>
        <w:t>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933B14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                  А.А. Федосеев</w:t>
      </w:r>
    </w:p>
    <w:p w:rsidR="00933B14" w:rsidRPr="00933B14" w:rsidRDefault="00933B14" w:rsidP="00933B14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Приложение 1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933B14" w:rsidRDefault="00933B14" w:rsidP="00933B14">
      <w:pPr>
        <w:pStyle w:val="ab"/>
        <w:jc w:val="right"/>
      </w:pPr>
      <w:r w:rsidRPr="00933B14">
        <w:rPr>
          <w:rFonts w:ascii="Times New Roman" w:hAnsi="Times New Roman" w:cs="Times New Roman"/>
          <w:b/>
          <w:sz w:val="16"/>
          <w:szCs w:val="16"/>
        </w:rPr>
        <w:tab/>
      </w:r>
      <w:r w:rsidRPr="00933B14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года №119</w:t>
      </w:r>
      <w:r w:rsidRPr="00933B14">
        <w:t>)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</w:p>
    <w:p w:rsidR="00933B14" w:rsidRPr="00933B14" w:rsidRDefault="00933B14" w:rsidP="00933B1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33B14">
        <w:rPr>
          <w:rFonts w:ascii="Times New Roman" w:hAnsi="Times New Roman" w:cs="Times New Roman"/>
          <w:b/>
          <w:bCs/>
          <w:sz w:val="16"/>
          <w:szCs w:val="16"/>
        </w:rPr>
        <w:t>Прогнозируемые доходы бюджета Филипповского муниципального</w:t>
      </w:r>
    </w:p>
    <w:p w:rsidR="00933B14" w:rsidRPr="00933B14" w:rsidRDefault="00933B14" w:rsidP="00F90E3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33B14">
        <w:rPr>
          <w:rFonts w:ascii="Times New Roman" w:hAnsi="Times New Roman" w:cs="Times New Roman"/>
          <w:b/>
          <w:bCs/>
          <w:sz w:val="16"/>
          <w:szCs w:val="16"/>
        </w:rPr>
        <w:t xml:space="preserve"> образования на 2020 год </w:t>
      </w:r>
    </w:p>
    <w:p w:rsidR="00933B14" w:rsidRPr="00933B14" w:rsidRDefault="00933B14" w:rsidP="00933B14">
      <w:pPr>
        <w:tabs>
          <w:tab w:val="left" w:pos="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рублей</w:t>
      </w:r>
    </w:p>
    <w:tbl>
      <w:tblPr>
        <w:tblW w:w="10786" w:type="dxa"/>
        <w:tblInd w:w="95" w:type="dxa"/>
        <w:tblLook w:val="04A0"/>
      </w:tblPr>
      <w:tblGrid>
        <w:gridCol w:w="6676"/>
        <w:gridCol w:w="2835"/>
        <w:gridCol w:w="1275"/>
      </w:tblGrid>
      <w:tr w:rsidR="00933B14" w:rsidRPr="00933B14" w:rsidTr="00933B14">
        <w:trPr>
          <w:trHeight w:val="350"/>
          <w:tblHeader/>
        </w:trPr>
        <w:tc>
          <w:tcPr>
            <w:tcW w:w="6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933B14" w:rsidRPr="00933B14" w:rsidTr="00933B14">
        <w:trPr>
          <w:trHeight w:val="350"/>
          <w:tblHeader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14" w:rsidRPr="00933B14" w:rsidTr="00933B14">
        <w:trPr>
          <w:trHeight w:val="350"/>
          <w:tblHeader/>
        </w:trPr>
        <w:tc>
          <w:tcPr>
            <w:tcW w:w="6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000  1  00  00000  00  0000  000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1 190 500,00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000  1  01  00000  00  0000  000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197 600,00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000  1  01  02000  01  0000  110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197 600,00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000  1  01  02010  01  0000  110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197 600,00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000  1  03  02000  01  0000  110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000  1  03  02230  01  0000  110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237 500,00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000  1  03  02231  01  0000  110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237 500,00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000  1  03  02240  01  0000  110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000  1  03  02241  01  0000  110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000  1  03  02250  01  0000  110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322 900,00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000  1  03  02251  01  0000  110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322 900,00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000  1  03  02260  01  0000  110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-38 200,00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000  1  03  02261  01  0000  110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-38 200,00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115 000,00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000  1  06  01000  00  0000  110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000  1  06  01030  10  0000  110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000  1  06  06000  00  0000  110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000  1  06  06030  00  0000  110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000  1  06  06033  10  0000  110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000  1  06  06040  00  0000  110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000  1  06  06043  10  0000  110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000  1  13  00000  00  0000  000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353 900,00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000  1  13  01000  00  0000  130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347 000,00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000  1  13  01990  00  0000  130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347 000,00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000  1  13  01995  10  0000  130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347 000,00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000  1  13  02000  00  0000  130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6 900,00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     Прочие доходы от компенсации затрат государства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000  1  13  02995  00  0000  130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6 900,00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000  1  13  02995  10  0000  130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6 900,00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7 479 262,00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7 496 062,00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000  2  02  10000  00  0000  150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6 059 771,00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000  2  02  15001  00  0000  150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6 059 771,00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000  2  02  15001  10  0000  150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6 059 771,00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307 800,00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5 751 971,00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000  2  02  20000  00  0000  150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246 100,00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000  2  02  29999  00  0000  150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246 100,00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000  2  02  29999  10  0000  150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246 100,00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246 100,00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Субсидия на развитие домов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СУБВЕНЦИИ БЮДЖЕТАМ БЮДЖЕТНОЙ СИСТЕМЫ  РОССИЙСКОЙ ФЕДЕРАЦИИ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000  2  02  30000  00  0000  150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169 800,00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000  2  02  30024  00  0000  150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000  2  02  30024  10  0000  150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000  2  02  35118  10  0000  150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000  2  02  40000  00  0000  150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1 020 391,00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000  2  02  49999  00  0000  150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1 020 391,00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000  2  02  49999  10  0000  150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1 020 391,00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870 391,00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на финансовое обеспечение расходных обязательств поселений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района, связанных с расходами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000  0  00  00000  00  0000  000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000  2  19  00000  00  0000  150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-16 800,00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000  2  19  60010  10  0000  150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-16 800,00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8 669 762,00</w:t>
            </w:r>
          </w:p>
        </w:tc>
      </w:tr>
    </w:tbl>
    <w:p w:rsidR="00933B14" w:rsidRPr="00933B14" w:rsidRDefault="00933B14" w:rsidP="00933B14">
      <w:pPr>
        <w:rPr>
          <w:rFonts w:ascii="Times New Roman" w:hAnsi="Times New Roman" w:cs="Times New Roman"/>
          <w:bCs/>
          <w:sz w:val="16"/>
          <w:szCs w:val="16"/>
        </w:rPr>
      </w:pP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 w:rsidRPr="00933B14">
        <w:rPr>
          <w:rFonts w:ascii="Times New Roman" w:hAnsi="Times New Roman" w:cs="Times New Roman"/>
          <w:sz w:val="16"/>
          <w:szCs w:val="16"/>
        </w:rPr>
        <w:t>Приложение 5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ab/>
      </w:r>
      <w:r w:rsidRPr="00933B14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№119)</w:t>
      </w:r>
    </w:p>
    <w:p w:rsidR="00933B14" w:rsidRPr="00933B14" w:rsidRDefault="00933B14" w:rsidP="00933B14">
      <w:pPr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бюджетов Российской Федерации на 2020 год</w:t>
      </w:r>
    </w:p>
    <w:p w:rsidR="00933B14" w:rsidRPr="00933B14" w:rsidRDefault="00933B14" w:rsidP="00933B1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4"/>
        <w:gridCol w:w="1134"/>
        <w:gridCol w:w="1134"/>
        <w:gridCol w:w="1417"/>
      </w:tblGrid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2 964 166,23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2 064 711,98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216 149,50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1 150 921,19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1 316 637,63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177 029,50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246 103,76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893 504,37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3 609 185,54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3 609 185,54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933B14">
        <w:trPr>
          <w:trHeight w:val="20"/>
        </w:trPr>
        <w:tc>
          <w:tcPr>
            <w:tcW w:w="7514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933B14">
        <w:trPr>
          <w:trHeight w:val="255"/>
        </w:trPr>
        <w:tc>
          <w:tcPr>
            <w:tcW w:w="9782" w:type="dxa"/>
            <w:gridSpan w:val="3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9 535 695,59</w:t>
            </w:r>
          </w:p>
        </w:tc>
      </w:tr>
    </w:tbl>
    <w:p w:rsidR="00933B14" w:rsidRPr="00933B14" w:rsidRDefault="00933B14" w:rsidP="00933B14">
      <w:pPr>
        <w:rPr>
          <w:rFonts w:ascii="Times New Roman" w:hAnsi="Times New Roman" w:cs="Times New Roman"/>
          <w:bCs/>
          <w:sz w:val="16"/>
          <w:szCs w:val="16"/>
        </w:rPr>
      </w:pP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Приложение 6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ab/>
      </w:r>
      <w:r w:rsidRPr="00933B14">
        <w:rPr>
          <w:rFonts w:ascii="Times New Roman" w:hAnsi="Times New Roman" w:cs="Times New Roman"/>
          <w:sz w:val="16"/>
          <w:szCs w:val="16"/>
        </w:rPr>
        <w:t>(в редакции утвержденной решением от 25 июня 2020  года №113)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</w:p>
    <w:p w:rsidR="00933B14" w:rsidRPr="00933B14" w:rsidRDefault="00933B14" w:rsidP="00933B14">
      <w:pPr>
        <w:ind w:firstLine="709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933B14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бюджетов Российской Федерации на плановый период 2021 и 2022 годов</w:t>
      </w:r>
    </w:p>
    <w:p w:rsidR="00933B14" w:rsidRPr="00933B14" w:rsidRDefault="00933B14" w:rsidP="00933B1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рублей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993"/>
        <w:gridCol w:w="992"/>
        <w:gridCol w:w="1276"/>
        <w:gridCol w:w="1275"/>
      </w:tblGrid>
      <w:tr w:rsidR="00933B14" w:rsidRPr="00933B14" w:rsidTr="00933B14">
        <w:trPr>
          <w:trHeight w:val="20"/>
        </w:trPr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vMerge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2022 год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2 243 217,10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2 650 912,25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1 927 717,10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2 650 912,25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1 090 535,90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1 666 684,05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215 020,20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225 020,20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564 200,00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589 600,00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1 391 000,00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953 000,00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468 000,00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743 000,00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4 632 520,65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2 660 434,95</w:t>
            </w:r>
          </w:p>
        </w:tc>
      </w:tr>
      <w:tr w:rsidR="00933B14" w:rsidRPr="00933B14" w:rsidTr="00933B14">
        <w:trPr>
          <w:trHeight w:val="20"/>
        </w:trPr>
        <w:tc>
          <w:tcPr>
            <w:tcW w:w="6379" w:type="dxa"/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4 632 520,65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2 660 434,95</w:t>
            </w:r>
          </w:p>
        </w:tc>
      </w:tr>
      <w:tr w:rsidR="00933B14" w:rsidRPr="00933B14" w:rsidTr="00933B14">
        <w:trPr>
          <w:trHeight w:val="255"/>
        </w:trPr>
        <w:tc>
          <w:tcPr>
            <w:tcW w:w="8364" w:type="dxa"/>
            <w:gridSpan w:val="3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8 641 637,75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6 983 047,20</w:t>
            </w:r>
          </w:p>
        </w:tc>
      </w:tr>
    </w:tbl>
    <w:p w:rsidR="00933B14" w:rsidRPr="00933B14" w:rsidRDefault="00933B14" w:rsidP="00933B14">
      <w:pPr>
        <w:rPr>
          <w:rFonts w:ascii="Times New Roman" w:hAnsi="Times New Roman" w:cs="Times New Roman"/>
          <w:bCs/>
          <w:sz w:val="16"/>
          <w:szCs w:val="16"/>
        </w:rPr>
      </w:pP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Приложение 7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ab/>
      </w:r>
      <w:r w:rsidRPr="00933B14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№119)</w:t>
      </w:r>
    </w:p>
    <w:p w:rsidR="00933B14" w:rsidRPr="00933B14" w:rsidRDefault="00933B14" w:rsidP="00933B1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</w:p>
    <w:p w:rsidR="00933B14" w:rsidRPr="00933B14" w:rsidRDefault="00933B14" w:rsidP="00933B1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33B14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933B14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видов расходов, разделам, подразделам классификации расходов бюджетов на 2020 год</w:t>
      </w:r>
    </w:p>
    <w:p w:rsidR="00933B14" w:rsidRPr="00933B14" w:rsidRDefault="00933B14" w:rsidP="00933B1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рублей</w:t>
      </w:r>
    </w:p>
    <w:tbl>
      <w:tblPr>
        <w:tblW w:w="10786" w:type="dxa"/>
        <w:tblInd w:w="95" w:type="dxa"/>
        <w:tblLook w:val="04A0"/>
      </w:tblPr>
      <w:tblGrid>
        <w:gridCol w:w="6250"/>
        <w:gridCol w:w="1418"/>
        <w:gridCol w:w="850"/>
        <w:gridCol w:w="993"/>
        <w:gridCol w:w="1275"/>
      </w:tblGrid>
      <w:tr w:rsidR="00933B14" w:rsidRPr="00933B14" w:rsidTr="00933B14">
        <w:trPr>
          <w:trHeight w:val="20"/>
          <w:tblHeader/>
        </w:trPr>
        <w:tc>
          <w:tcPr>
            <w:tcW w:w="6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9 525 695,59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2 914 116,73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2 064 011,98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1 789 954,37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1 789 954,37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1 789 954,37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1 789 954,37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274 057,61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269 165,75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269 165,75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269 165,75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4 891,86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4 891,86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4 891,86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129 019,00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129 019,00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129 019,00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5 081,00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5 081,00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5 081,00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4 502 689,91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3 994 321,63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3 994 321,63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868 134,10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868 134,10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3 126 187,53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3 126 187,53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508 368,28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507 668,28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25 370,27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25 370,27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482 298,01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482 298,01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2 108 888,95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353 133,26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352 633,26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352 633,26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176 529,50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176 103,76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5 049,50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5 049,50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5 049,50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5 049,50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248 600,00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248 600,00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188 600,00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188 600,00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62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9 535 695,59</w:t>
            </w:r>
          </w:p>
        </w:tc>
      </w:tr>
    </w:tbl>
    <w:p w:rsidR="00933B14" w:rsidRPr="00933B14" w:rsidRDefault="00933B14" w:rsidP="00933B14">
      <w:pPr>
        <w:rPr>
          <w:rFonts w:ascii="Times New Roman" w:hAnsi="Times New Roman" w:cs="Times New Roman"/>
          <w:sz w:val="16"/>
          <w:szCs w:val="16"/>
        </w:rPr>
      </w:pP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Приложение 8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ab/>
      </w:r>
      <w:r w:rsidRPr="00933B14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№119)</w:t>
      </w:r>
    </w:p>
    <w:p w:rsidR="00933B14" w:rsidRPr="00933B14" w:rsidRDefault="00933B14" w:rsidP="00933B14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933B14" w:rsidRPr="00933B14" w:rsidRDefault="00933B14" w:rsidP="00933B14">
      <w:pPr>
        <w:jc w:val="center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933B14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933B14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</w:t>
      </w:r>
      <w:r w:rsidRPr="00933B14">
        <w:rPr>
          <w:rFonts w:ascii="Times New Roman" w:hAnsi="Times New Roman" w:cs="Times New Roman"/>
          <w:b/>
          <w:snapToGrid w:val="0"/>
          <w:sz w:val="16"/>
          <w:szCs w:val="16"/>
        </w:rPr>
        <w:t>на плановый период 2021 и 2022 годов</w:t>
      </w:r>
    </w:p>
    <w:p w:rsidR="00933B14" w:rsidRPr="00933B14" w:rsidRDefault="00933B14" w:rsidP="00933B1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915" w:type="dxa"/>
        <w:tblInd w:w="-34" w:type="dxa"/>
        <w:tblLook w:val="04A0"/>
      </w:tblPr>
      <w:tblGrid>
        <w:gridCol w:w="5376"/>
        <w:gridCol w:w="1145"/>
        <w:gridCol w:w="992"/>
        <w:gridCol w:w="993"/>
        <w:gridCol w:w="1134"/>
        <w:gridCol w:w="1275"/>
      </w:tblGrid>
      <w:tr w:rsidR="00933B14" w:rsidRPr="00933B14" w:rsidTr="00933B14">
        <w:trPr>
          <w:trHeight w:val="20"/>
          <w:tblHeader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933B14" w:rsidRPr="00933B14" w:rsidTr="00933B14">
        <w:trPr>
          <w:trHeight w:val="20"/>
          <w:tblHeader/>
        </w:trPr>
        <w:tc>
          <w:tcPr>
            <w:tcW w:w="5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2022 год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6 844 264,01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6 961 047,20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1 870 896,90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2 586 992,05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1 089 835,90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1 803 031,05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992 985,65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1 569 154,00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992 985,65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1 569 154,00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992 985,65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1 569 154,00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992 985,65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1 569 154,00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96 850,25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233 877,05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94 450,25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94 430,05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94 450,25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94 430,05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высших </w:t>
            </w: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94 450,25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94 430,05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139 447,00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139 447,00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4 038 146,91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3 493 434,95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3 864 861,97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3 320 148,01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3 864 861,97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3 320 148,01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3 123 861,97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2 489 148,01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3 123 861,97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2 489 148,01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173 284,94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173 286,94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170 884,94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170 886,94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168 884,94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168 884,94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935 220,20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880 620,20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98 000,00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Организация в границах поселения  водоснабжения населения и водоотведения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99.3.00.80039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</w:tr>
      <w:tr w:rsidR="00933B14" w:rsidRPr="00933B14" w:rsidTr="00933B14">
        <w:trPr>
          <w:trHeight w:val="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8 641 637,75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6 983 047,20</w:t>
            </w:r>
          </w:p>
        </w:tc>
      </w:tr>
    </w:tbl>
    <w:p w:rsidR="00933B14" w:rsidRPr="00933B14" w:rsidRDefault="00933B14" w:rsidP="00933B14">
      <w:pPr>
        <w:rPr>
          <w:rFonts w:ascii="Times New Roman" w:hAnsi="Times New Roman" w:cs="Times New Roman"/>
          <w:bCs/>
          <w:sz w:val="16"/>
          <w:szCs w:val="16"/>
        </w:rPr>
      </w:pP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Приложение 9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33B14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933B14" w:rsidRDefault="00933B14" w:rsidP="00933B14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ab/>
      </w:r>
      <w:r w:rsidRPr="00933B14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№119)</w:t>
      </w:r>
    </w:p>
    <w:p w:rsidR="00933B14" w:rsidRPr="00933B14" w:rsidRDefault="00933B14" w:rsidP="00933B1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2020 год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933B14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933B14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933B14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933B14">
        <w:rPr>
          <w:rFonts w:ascii="Times New Roman" w:hAnsi="Times New Roman" w:cs="Times New Roman"/>
          <w:b/>
          <w:sz w:val="16"/>
          <w:szCs w:val="16"/>
        </w:rPr>
        <w:t>)</w:t>
      </w:r>
    </w:p>
    <w:p w:rsidR="00933B14" w:rsidRPr="00933B14" w:rsidRDefault="00933B14" w:rsidP="00933B1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786" w:type="dxa"/>
        <w:tblInd w:w="95" w:type="dxa"/>
        <w:tblLook w:val="04A0"/>
      </w:tblPr>
      <w:tblGrid>
        <w:gridCol w:w="5400"/>
        <w:gridCol w:w="850"/>
        <w:gridCol w:w="993"/>
        <w:gridCol w:w="1417"/>
        <w:gridCol w:w="851"/>
        <w:gridCol w:w="1275"/>
      </w:tblGrid>
      <w:tr w:rsidR="00933B14" w:rsidRPr="00933B14" w:rsidTr="00062881">
        <w:trPr>
          <w:trHeight w:val="20"/>
          <w:tblHeader/>
        </w:trPr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Филиповского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9 535 695,59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2 964 166,23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680 304,75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2 064 711,98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2 064 711,98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2 064 711,98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2 064 011,98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1 789 954,37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1 789 954,37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274 057,61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269 165,75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4 891,86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216 149,50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216 149,50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216 149,50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5 049,50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5 049,50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22 500,00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188 600,00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188 600,00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134 100,00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129 019,00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5 081,00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1 150 921,19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1 316 637,63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177 029,50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177 029,50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177 029,50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177 029,50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176 529,50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246 103,76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236 103,76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236 103,76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176 103,76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176 103,76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893 504,37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893 504,37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893 504,37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868 134,10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868 134,10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25 370,27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25 370,27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3 609 185,54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3 609 185,54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3 609 185,54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3 609 185,54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по оплате труда работникам муниципальных </w:t>
            </w: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3 126 187,53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3 126 187,53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482 998,01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482 298,01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933B14" w:rsidRPr="00933B14" w:rsidTr="00062881">
        <w:trPr>
          <w:trHeight w:val="2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9 535 695,59</w:t>
            </w:r>
          </w:p>
        </w:tc>
      </w:tr>
    </w:tbl>
    <w:p w:rsidR="00933B14" w:rsidRPr="00933B14" w:rsidRDefault="00933B14" w:rsidP="00933B14">
      <w:pPr>
        <w:rPr>
          <w:rFonts w:ascii="Times New Roman" w:hAnsi="Times New Roman" w:cs="Times New Roman"/>
          <w:bCs/>
          <w:sz w:val="16"/>
          <w:szCs w:val="16"/>
        </w:rPr>
      </w:pP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Приложение 10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бюджета Филипповского муниципального образования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№119)</w:t>
      </w:r>
    </w:p>
    <w:p w:rsidR="00933B14" w:rsidRPr="00933B14" w:rsidRDefault="00933B14" w:rsidP="0006288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</w:t>
      </w:r>
      <w:r w:rsidRPr="00933B14">
        <w:rPr>
          <w:rFonts w:ascii="Times New Roman" w:hAnsi="Times New Roman" w:cs="Times New Roman"/>
          <w:b/>
          <w:snapToGrid w:val="0"/>
          <w:sz w:val="16"/>
          <w:szCs w:val="16"/>
        </w:rPr>
        <w:t>плановый период 2021 и 2022 годов</w:t>
      </w:r>
      <w:r w:rsidRPr="00933B14">
        <w:rPr>
          <w:rFonts w:ascii="Times New Roman" w:hAnsi="Times New Roman" w:cs="Times New Roman"/>
          <w:b/>
          <w:sz w:val="16"/>
          <w:szCs w:val="16"/>
        </w:rPr>
        <w:t xml:space="preserve">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933B14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933B14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933B14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933B14">
        <w:rPr>
          <w:rFonts w:ascii="Times New Roman" w:hAnsi="Times New Roman" w:cs="Times New Roman"/>
          <w:b/>
          <w:sz w:val="16"/>
          <w:szCs w:val="16"/>
        </w:rPr>
        <w:t>)</w:t>
      </w:r>
    </w:p>
    <w:p w:rsidR="00933B14" w:rsidRPr="00933B14" w:rsidRDefault="00933B14" w:rsidP="00933B1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788" w:type="dxa"/>
        <w:tblInd w:w="93" w:type="dxa"/>
        <w:tblLook w:val="04A0"/>
      </w:tblPr>
      <w:tblGrid>
        <w:gridCol w:w="4268"/>
        <w:gridCol w:w="850"/>
        <w:gridCol w:w="993"/>
        <w:gridCol w:w="1417"/>
        <w:gridCol w:w="992"/>
        <w:gridCol w:w="1134"/>
        <w:gridCol w:w="1134"/>
      </w:tblGrid>
      <w:tr w:rsidR="00933B14" w:rsidRPr="00933B14" w:rsidTr="00062881">
        <w:trPr>
          <w:trHeight w:val="20"/>
          <w:tblHeader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933B14" w:rsidRPr="00933B14" w:rsidTr="00062881">
        <w:trPr>
          <w:trHeight w:val="20"/>
          <w:tblHeader/>
        </w:trPr>
        <w:tc>
          <w:tcPr>
            <w:tcW w:w="4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2022 год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Филиповского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8 641 637,75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6 983 047,20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1 927 717,10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2 650 912,25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1 090 535,90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1 666 684,05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1 090 535,90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1 666 684,05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1 090 535,90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1 666 684,05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1 089 835,90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1 665 984,05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992 985,65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1 569 154,00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992 985,65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1 569 154,00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96 850,25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96 830,05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94 450,25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94 430,05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215 020,20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225 020,20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215 020,20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225 020,20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215 020,20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225 020,20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202 020,20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126 200,00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129 100,00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7 800,00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564 200,00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589 600,00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1 391 000,00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953 000,00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Организация в границах поселения  водоснабжения населения и водоотведения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40.0.01.80023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741 000,00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4 632 520,65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2 660 434,95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4 632 520,65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2 660 434,95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71.0.01.S2100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1 337 373,74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3 295 146,91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2 660 434,95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3 295 146,91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2 660 434,95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3 123 861,97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2 489 148,01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3 123 861,97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2 489 148,01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171 284,94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171 286,94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168 884,94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933B14" w:rsidRPr="00933B14" w:rsidTr="00062881">
        <w:trPr>
          <w:trHeight w:val="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8 641 637,75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B14" w:rsidRPr="00933B14" w:rsidRDefault="00933B14" w:rsidP="00933B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6 983 047,20</w:t>
            </w:r>
          </w:p>
        </w:tc>
      </w:tr>
    </w:tbl>
    <w:p w:rsidR="00933B14" w:rsidRPr="00933B14" w:rsidRDefault="00933B14" w:rsidP="00062881">
      <w:pPr>
        <w:rPr>
          <w:rFonts w:ascii="Times New Roman" w:hAnsi="Times New Roman" w:cs="Times New Roman"/>
          <w:bCs/>
          <w:sz w:val="16"/>
          <w:szCs w:val="16"/>
        </w:rPr>
      </w:pP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Приложение 11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b/>
          <w:sz w:val="16"/>
          <w:szCs w:val="16"/>
        </w:rPr>
        <w:tab/>
      </w:r>
      <w:r w:rsidRPr="00062881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№119)</w:t>
      </w:r>
    </w:p>
    <w:p w:rsidR="00933B14" w:rsidRPr="00933B14" w:rsidRDefault="00933B14" w:rsidP="00933B14">
      <w:pPr>
        <w:widowControl w:val="0"/>
        <w:autoSpaceDE w:val="0"/>
        <w:autoSpaceDN w:val="0"/>
        <w:adjustRightInd w:val="0"/>
        <w:ind w:left="3402"/>
        <w:jc w:val="right"/>
        <w:rPr>
          <w:rFonts w:ascii="Times New Roman" w:hAnsi="Times New Roman" w:cs="Times New Roman"/>
          <w:sz w:val="16"/>
          <w:szCs w:val="16"/>
        </w:rPr>
      </w:pPr>
    </w:p>
    <w:p w:rsidR="00933B14" w:rsidRPr="00933B14" w:rsidRDefault="00933B14" w:rsidP="0006288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3B14">
        <w:rPr>
          <w:rFonts w:ascii="Times New Roman" w:hAnsi="Times New Roman" w:cs="Times New Roman"/>
          <w:b/>
          <w:sz w:val="16"/>
          <w:szCs w:val="16"/>
        </w:rPr>
        <w:t>Программа муниципальных внутренних заимствований  Филипповского муниципального образования на 2020 года и на плановый период 2021 и 2022 годов</w:t>
      </w:r>
    </w:p>
    <w:p w:rsidR="00933B14" w:rsidRPr="00933B14" w:rsidRDefault="00933B14" w:rsidP="00933B14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33B1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790" w:type="dxa"/>
        <w:tblInd w:w="91" w:type="dxa"/>
        <w:tblLook w:val="04A0"/>
      </w:tblPr>
      <w:tblGrid>
        <w:gridCol w:w="5687"/>
        <w:gridCol w:w="1985"/>
        <w:gridCol w:w="1559"/>
        <w:gridCol w:w="1559"/>
      </w:tblGrid>
      <w:tr w:rsidR="00933B14" w:rsidRPr="00933B14" w:rsidTr="00062881">
        <w:trPr>
          <w:trHeight w:val="2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Виды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2022 год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заимствований,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объем привлечения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объем погашения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объем привлечения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объем погашения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ind w:firstLineChars="100" w:firstLine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до 1 года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объем привлечения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объем погашения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B14" w:rsidRPr="00933B14" w:rsidRDefault="00933B14" w:rsidP="00933B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 соответствии с бюджетным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 соответствии с бюджетным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в соответствии с бюджетным законодательством</w:t>
            </w:r>
          </w:p>
        </w:tc>
      </w:tr>
    </w:tbl>
    <w:p w:rsidR="00933B14" w:rsidRPr="00933B14" w:rsidRDefault="00933B14" w:rsidP="00062881">
      <w:pPr>
        <w:rPr>
          <w:rFonts w:ascii="Times New Roman" w:hAnsi="Times New Roman" w:cs="Times New Roman"/>
          <w:bCs/>
          <w:sz w:val="16"/>
          <w:szCs w:val="16"/>
        </w:rPr>
      </w:pP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Приложение 12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933B14" w:rsidRDefault="00933B14" w:rsidP="00062881">
      <w:pPr>
        <w:pStyle w:val="ab"/>
        <w:jc w:val="right"/>
      </w:pPr>
      <w:r w:rsidRPr="00062881">
        <w:rPr>
          <w:rFonts w:ascii="Times New Roman" w:hAnsi="Times New Roman" w:cs="Times New Roman"/>
          <w:b/>
          <w:sz w:val="16"/>
          <w:szCs w:val="16"/>
        </w:rPr>
        <w:tab/>
      </w:r>
      <w:r w:rsidRPr="00062881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</w:t>
      </w:r>
      <w:r w:rsidRPr="00933B14">
        <w:t>)</w:t>
      </w:r>
    </w:p>
    <w:p w:rsidR="00933B14" w:rsidRPr="00933B14" w:rsidRDefault="00933B14" w:rsidP="00933B1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3B14" w:rsidRPr="00062881" w:rsidRDefault="00933B14" w:rsidP="0006288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33B14">
        <w:rPr>
          <w:rFonts w:ascii="Times New Roman" w:hAnsi="Times New Roman" w:cs="Times New Roman"/>
          <w:b/>
          <w:bCs/>
          <w:sz w:val="16"/>
          <w:szCs w:val="16"/>
        </w:rPr>
        <w:t>Источники внутреннего финансирования дефицита местного бюджета на 2020 г</w:t>
      </w:r>
      <w:r w:rsidR="00062881">
        <w:rPr>
          <w:rFonts w:ascii="Times New Roman" w:hAnsi="Times New Roman" w:cs="Times New Roman"/>
          <w:b/>
          <w:bCs/>
          <w:sz w:val="16"/>
          <w:szCs w:val="16"/>
        </w:rPr>
        <w:t>од</w:t>
      </w:r>
    </w:p>
    <w:tbl>
      <w:tblPr>
        <w:tblpPr w:leftFromText="180" w:rightFromText="180" w:vertAnchor="text" w:horzAnchor="margin" w:tblpXSpec="right" w:tblpY="378"/>
        <w:tblW w:w="0" w:type="auto"/>
        <w:tblLook w:val="04A0"/>
      </w:tblPr>
      <w:tblGrid>
        <w:gridCol w:w="6046"/>
        <w:gridCol w:w="3260"/>
        <w:gridCol w:w="1717"/>
      </w:tblGrid>
      <w:tr w:rsidR="00933B14" w:rsidRPr="00933B14" w:rsidTr="00062881">
        <w:trPr>
          <w:trHeight w:val="416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865 933,59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60 01 02 00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01 02 00 00 00 0000 800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806 933,59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-8 728 762,00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-8 728 762,00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-8 728 762,00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-8 728 762,00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9 535 695,59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9 535 695,59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9 535 695,59</w:t>
            </w:r>
          </w:p>
        </w:tc>
      </w:tr>
      <w:tr w:rsidR="00933B14" w:rsidRPr="00933B14" w:rsidTr="00062881">
        <w:trPr>
          <w:trHeight w:val="20"/>
        </w:trPr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000 01 05 02 01 10 0000  610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9 535 695,59</w:t>
            </w:r>
          </w:p>
        </w:tc>
      </w:tr>
    </w:tbl>
    <w:p w:rsidR="00933B14" w:rsidRPr="00933B14" w:rsidRDefault="00933B14" w:rsidP="00062881">
      <w:pPr>
        <w:rPr>
          <w:rFonts w:ascii="Times New Roman" w:hAnsi="Times New Roman" w:cs="Times New Roman"/>
          <w:sz w:val="16"/>
          <w:szCs w:val="16"/>
        </w:rPr>
      </w:pP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Приложение 13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к решению Думы Филипповского муниципального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образования  от 25 декабря 2019  года № 95 «Об утверждении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 бюджета Филипповского муниципального образования  </w:t>
      </w:r>
      <w:r w:rsidR="00062881"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на 2020 год и на плановый период 2021 и 2022 годов»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b/>
          <w:sz w:val="16"/>
          <w:szCs w:val="16"/>
        </w:rPr>
        <w:tab/>
      </w:r>
      <w:r w:rsidRPr="00062881">
        <w:rPr>
          <w:rFonts w:ascii="Times New Roman" w:hAnsi="Times New Roman" w:cs="Times New Roman"/>
          <w:sz w:val="16"/>
          <w:szCs w:val="16"/>
        </w:rPr>
        <w:t>(в редакции утвержденной решением от 23 сентября 2020  года №119)</w:t>
      </w:r>
    </w:p>
    <w:p w:rsidR="00933B14" w:rsidRPr="00062881" w:rsidRDefault="00933B14" w:rsidP="0006288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</w:p>
    <w:p w:rsidR="00933B14" w:rsidRPr="00933B14" w:rsidRDefault="00933B14" w:rsidP="00933B1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33B14">
        <w:rPr>
          <w:rFonts w:ascii="Times New Roman" w:hAnsi="Times New Roman" w:cs="Times New Roman"/>
          <w:b/>
          <w:bCs/>
          <w:sz w:val="16"/>
          <w:szCs w:val="16"/>
        </w:rPr>
        <w:t xml:space="preserve">Источники внутреннего финансирования дефицита местного бюджета </w:t>
      </w:r>
    </w:p>
    <w:p w:rsidR="00933B14" w:rsidRPr="00062881" w:rsidRDefault="00933B14" w:rsidP="00062881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33B14">
        <w:rPr>
          <w:rFonts w:ascii="Times New Roman" w:hAnsi="Times New Roman" w:cs="Times New Roman"/>
          <w:b/>
          <w:bCs/>
          <w:sz w:val="16"/>
          <w:szCs w:val="16"/>
        </w:rPr>
        <w:t>на плановый период 2021 и 2022 г</w:t>
      </w:r>
      <w:r w:rsidR="00062881">
        <w:rPr>
          <w:rFonts w:ascii="Times New Roman" w:hAnsi="Times New Roman" w:cs="Times New Roman"/>
          <w:b/>
          <w:bCs/>
          <w:sz w:val="16"/>
          <w:szCs w:val="16"/>
        </w:rPr>
        <w:t>оды</w:t>
      </w:r>
      <w:r w:rsidRPr="00933B14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5529"/>
        <w:gridCol w:w="2694"/>
        <w:gridCol w:w="1417"/>
        <w:gridCol w:w="1383"/>
      </w:tblGrid>
      <w:tr w:rsidR="00933B14" w:rsidRPr="00933B14" w:rsidTr="00062881">
        <w:trPr>
          <w:trHeight w:val="2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2021 год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2022 год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61 01 02 00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Cs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-59 000,00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14" w:rsidRPr="00933B14" w:rsidRDefault="00933B14" w:rsidP="00933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933B14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01 02 00 00 10 0000 810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-59 000,00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-59 000,00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-8 878 990,00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-7 390 376,00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-7 390 376,00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-7 390 376,00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-7 390 376,00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b/>
                <w:sz w:val="16"/>
                <w:szCs w:val="16"/>
              </w:rPr>
              <w:t>7 390 376,00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933B14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7 390 376,00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7 390 376,00</w:t>
            </w:r>
          </w:p>
        </w:tc>
      </w:tr>
      <w:tr w:rsidR="00933B14" w:rsidRPr="00933B14" w:rsidTr="00062881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B14" w:rsidRPr="00933B14" w:rsidRDefault="00933B14" w:rsidP="00933B1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000 01 05 02 01 10 000 610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8 878 990,00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B14" w:rsidRPr="00933B14" w:rsidRDefault="00933B14" w:rsidP="00933B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B14">
              <w:rPr>
                <w:rFonts w:ascii="Times New Roman" w:hAnsi="Times New Roman" w:cs="Times New Roman"/>
                <w:sz w:val="16"/>
                <w:szCs w:val="16"/>
              </w:rPr>
              <w:t>7 390 376,00</w:t>
            </w:r>
          </w:p>
        </w:tc>
      </w:tr>
    </w:tbl>
    <w:p w:rsidR="00933B14" w:rsidRPr="005B7E76" w:rsidRDefault="00933B14" w:rsidP="00933B14">
      <w:pPr>
        <w:jc w:val="right"/>
        <w:rPr>
          <w:sz w:val="20"/>
          <w:szCs w:val="20"/>
        </w:rPr>
      </w:pPr>
      <w:r w:rsidRPr="005B7E76">
        <w:rPr>
          <w:sz w:val="20"/>
          <w:szCs w:val="20"/>
        </w:rPr>
        <w:t>рублей</w:t>
      </w:r>
    </w:p>
    <w:p w:rsidR="00062881" w:rsidRPr="00062881" w:rsidRDefault="00062881" w:rsidP="00062881">
      <w:pPr>
        <w:tabs>
          <w:tab w:val="left" w:pos="142"/>
        </w:tabs>
        <w:rPr>
          <w:rFonts w:ascii="Times New Roman" w:hAnsi="Times New Roman" w:cs="Times New Roman"/>
          <w:sz w:val="16"/>
          <w:szCs w:val="16"/>
        </w:rPr>
      </w:pPr>
    </w:p>
    <w:p w:rsidR="00062881" w:rsidRPr="00062881" w:rsidRDefault="00062881" w:rsidP="0006288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62881" w:rsidRPr="00062881" w:rsidRDefault="00062881" w:rsidP="0006288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062881" w:rsidRPr="00062881" w:rsidRDefault="00062881" w:rsidP="0006288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062881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062881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062881" w:rsidRPr="00062881" w:rsidRDefault="00062881" w:rsidP="0006288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Филипповское  муниципальное образование</w:t>
      </w:r>
    </w:p>
    <w:p w:rsidR="00062881" w:rsidRPr="00062881" w:rsidRDefault="00062881" w:rsidP="00062881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Дума </w:t>
      </w:r>
    </w:p>
    <w:p w:rsidR="00062881" w:rsidRPr="00062881" w:rsidRDefault="00062881" w:rsidP="00062881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62881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062881" w:rsidRPr="00062881" w:rsidRDefault="00062881" w:rsidP="00062881">
      <w:pPr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lastRenderedPageBreak/>
        <w:t xml:space="preserve">от  23.09.2020 года              № 120                с. </w:t>
      </w:r>
      <w:proofErr w:type="spellStart"/>
      <w:r w:rsidRPr="00062881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</w:p>
    <w:p w:rsidR="00062881" w:rsidRPr="00062881" w:rsidRDefault="00062881" w:rsidP="00062881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62881" w:rsidRDefault="00062881" w:rsidP="00062881">
      <w:pPr>
        <w:pStyle w:val="ab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62881" w:rsidRPr="00062881" w:rsidRDefault="00062881" w:rsidP="00062881">
      <w:pPr>
        <w:pStyle w:val="ab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Думы 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2881">
        <w:rPr>
          <w:rFonts w:ascii="Times New Roman" w:hAnsi="Times New Roman" w:cs="Times New Roman"/>
          <w:sz w:val="16"/>
          <w:szCs w:val="16"/>
        </w:rPr>
        <w:t>муниципального образования от 22.06.2018 года № 40 «Об утверждении Правил благоустройства и обеспечения чистоты на территории  Филипповского муниципального образования»</w:t>
      </w:r>
    </w:p>
    <w:p w:rsidR="00062881" w:rsidRDefault="00062881" w:rsidP="00062881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62881" w:rsidRPr="00062881" w:rsidRDefault="00062881" w:rsidP="00062881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628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целях </w:t>
      </w:r>
      <w:r w:rsidRPr="00062881">
        <w:rPr>
          <w:rFonts w:ascii="Times New Roman" w:hAnsi="Times New Roman" w:cs="Times New Roman"/>
          <w:color w:val="2D2D2D"/>
          <w:spacing w:val="2"/>
          <w:sz w:val="16"/>
          <w:szCs w:val="16"/>
          <w:shd w:val="clear" w:color="auto" w:fill="FFFFFF"/>
        </w:rPr>
        <w:t>приведения в соответствие с действующим законодательством</w:t>
      </w:r>
      <w:r w:rsidRPr="000628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руководствуясь ст.7 Федерального закона от 06.10.2003 г. №131-ФЗ «Об общих принципах организации местного самоуправления в Российской Федерации», </w:t>
      </w:r>
      <w:r w:rsidRPr="00062881">
        <w:rPr>
          <w:rFonts w:ascii="Times New Roman" w:hAnsi="Times New Roman" w:cs="Times New Roman"/>
          <w:sz w:val="16"/>
          <w:szCs w:val="16"/>
        </w:rPr>
        <w:t>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 w:rsidRPr="00062881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Pr="00062881">
        <w:rPr>
          <w:rFonts w:ascii="Times New Roman" w:hAnsi="Times New Roman" w:cs="Times New Roman"/>
          <w:sz w:val="16"/>
          <w:szCs w:val="16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статьей 31 Устава</w:t>
      </w:r>
      <w:r w:rsidRPr="000628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Филипповского муниципального</w:t>
      </w:r>
      <w:proofErr w:type="gramEnd"/>
      <w:r w:rsidRPr="000628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образования, Дума Филипповского  муниципального образования</w:t>
      </w:r>
      <w:r w:rsidRPr="0006288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2881" w:rsidRPr="00062881" w:rsidRDefault="00062881" w:rsidP="00062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62881">
        <w:rPr>
          <w:rFonts w:ascii="Times New Roman" w:hAnsi="Times New Roman" w:cs="Times New Roman"/>
          <w:b/>
          <w:bCs/>
          <w:sz w:val="16"/>
          <w:szCs w:val="16"/>
        </w:rPr>
        <w:t>РЕШИЛА:</w:t>
      </w:r>
    </w:p>
    <w:p w:rsidR="00062881" w:rsidRPr="00062881" w:rsidRDefault="00062881" w:rsidP="00062881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      1.Внести в решение Думы Филипповского муниципального образования от 22.06.2020 года № 40 «Об утверждении  Правил благоустройства и обеспечения чистоты на территории  Филипповского муниципального образования»  следующие изменения:   </w:t>
      </w:r>
    </w:p>
    <w:p w:rsidR="00062881" w:rsidRPr="00062881" w:rsidRDefault="00062881" w:rsidP="000628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            1) в части 3 статьи 1 приложения слова «на территории городского округа» заменить словами «на территории сельского поселения»;</w:t>
      </w:r>
    </w:p>
    <w:p w:rsidR="00062881" w:rsidRPr="00062881" w:rsidRDefault="00062881" w:rsidP="00062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2) в части 5 статьи 1 приложения «на территории городского округа» заменить словами «на территории сельского поселения»;</w:t>
      </w:r>
    </w:p>
    <w:p w:rsidR="00062881" w:rsidRPr="00062881" w:rsidRDefault="00062881" w:rsidP="00062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3)в части 3 статьи 17 приложения слова «территории городского округа» заменить словами «территории сельского поселения»;</w:t>
      </w:r>
    </w:p>
    <w:p w:rsidR="00062881" w:rsidRPr="00062881" w:rsidRDefault="00062881" w:rsidP="00062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4) в части 5 статьи 18 приложения слова «жилищного фонда городского округа» заменить словами» жилищного фонда сельского поселения»;</w:t>
      </w:r>
    </w:p>
    <w:p w:rsidR="00062881" w:rsidRPr="00062881" w:rsidRDefault="00062881" w:rsidP="000628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>5)в части 7 статьи 20 приложения слова «территории городского округа» заменить словами «территории сельского поселения»;</w:t>
      </w:r>
    </w:p>
    <w:p w:rsidR="00062881" w:rsidRPr="00062881" w:rsidRDefault="00062881" w:rsidP="00062881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2. Опубликовать настоящее  решение в «Информационном вестнике», периодическом издании органов местного самоуправления Филипповского муниципального образования и разместить на официальном сайте администрации Филипповского муниципального образования </w:t>
      </w:r>
      <w:hyperlink r:id="rId8" w:history="1">
        <w:r w:rsidRPr="00062881">
          <w:rPr>
            <w:rStyle w:val="ad"/>
            <w:rFonts w:ascii="Times New Roman" w:hAnsi="Times New Roman" w:cs="Times New Roman"/>
            <w:sz w:val="16"/>
            <w:szCs w:val="16"/>
          </w:rPr>
          <w:t>http</w:t>
        </w:r>
        <w:r w:rsidRPr="00062881">
          <w:rPr>
            <w:rStyle w:val="ad"/>
            <w:rFonts w:ascii="Times New Roman" w:hAnsi="Times New Roman" w:cs="Times New Roman"/>
            <w:sz w:val="16"/>
            <w:szCs w:val="16"/>
            <w:lang w:val="ru-RU"/>
          </w:rPr>
          <w:t>://филипповск.рф/</w:t>
        </w:r>
      </w:hyperlink>
      <w:r w:rsidRPr="00062881">
        <w:rPr>
          <w:rFonts w:ascii="Times New Roman" w:hAnsi="Times New Roman" w:cs="Times New Roman"/>
          <w:sz w:val="16"/>
          <w:szCs w:val="16"/>
        </w:rPr>
        <w:t xml:space="preserve"> .           </w:t>
      </w:r>
    </w:p>
    <w:p w:rsidR="00062881" w:rsidRPr="00062881" w:rsidRDefault="00062881" w:rsidP="00E81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           3.Настоящее решение вступает в силу со дня его официального опубликования.</w:t>
      </w:r>
    </w:p>
    <w:p w:rsidR="00062881" w:rsidRPr="00062881" w:rsidRDefault="00062881" w:rsidP="00062881">
      <w:pPr>
        <w:rPr>
          <w:rFonts w:ascii="Times New Roman" w:hAnsi="Times New Roman" w:cs="Times New Roman"/>
          <w:sz w:val="16"/>
          <w:szCs w:val="16"/>
        </w:rPr>
      </w:pPr>
      <w:r w:rsidRPr="00062881">
        <w:rPr>
          <w:rFonts w:ascii="Times New Roman" w:hAnsi="Times New Roman" w:cs="Times New Roman"/>
          <w:sz w:val="16"/>
          <w:szCs w:val="16"/>
        </w:rPr>
        <w:t xml:space="preserve"> Председатель Думы, Глава </w:t>
      </w:r>
      <w:r>
        <w:rPr>
          <w:rFonts w:ascii="Times New Roman" w:hAnsi="Times New Roman" w:cs="Times New Roman"/>
          <w:sz w:val="16"/>
          <w:szCs w:val="16"/>
        </w:rPr>
        <w:t xml:space="preserve">Филипповского </w:t>
      </w:r>
      <w:r w:rsidRPr="00062881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А.А. Федосеев</w:t>
      </w:r>
    </w:p>
    <w:p w:rsidR="00933B14" w:rsidRPr="00062881" w:rsidRDefault="00933B14" w:rsidP="007E3A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266617" w:rsidRPr="00266617" w:rsidRDefault="00266617" w:rsidP="0026661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26661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266617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266617">
        <w:rPr>
          <w:rFonts w:ascii="Times New Roman" w:hAnsi="Times New Roman" w:cs="Times New Roman"/>
          <w:b/>
          <w:bCs/>
          <w:sz w:val="16"/>
          <w:szCs w:val="16"/>
        </w:rPr>
        <w:t>П</w:t>
      </w:r>
      <w:proofErr w:type="gramEnd"/>
      <w:r w:rsidRPr="00266617">
        <w:rPr>
          <w:rFonts w:ascii="Times New Roman" w:hAnsi="Times New Roman" w:cs="Times New Roman"/>
          <w:b/>
          <w:bCs/>
          <w:sz w:val="16"/>
          <w:szCs w:val="16"/>
        </w:rPr>
        <w:t xml:space="preserve"> О  С Т А Н О В Л Е Н И Е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от 18.09.2020 года           с. </w:t>
      </w:r>
      <w:proofErr w:type="spellStart"/>
      <w:r w:rsidRPr="00266617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266617">
        <w:rPr>
          <w:rFonts w:ascii="Times New Roman" w:hAnsi="Times New Roman" w:cs="Times New Roman"/>
          <w:sz w:val="16"/>
          <w:szCs w:val="16"/>
        </w:rPr>
        <w:t xml:space="preserve">                  № 45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6617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 от 28.02.2020 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6617">
        <w:rPr>
          <w:rFonts w:ascii="Times New Roman" w:hAnsi="Times New Roman" w:cs="Times New Roman"/>
          <w:sz w:val="16"/>
          <w:szCs w:val="16"/>
        </w:rPr>
        <w:t xml:space="preserve">№19 «Об утверждении муниципальной   программы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6617">
        <w:rPr>
          <w:rFonts w:ascii="Times New Roman" w:hAnsi="Times New Roman" w:cs="Times New Roman"/>
          <w:sz w:val="16"/>
          <w:szCs w:val="16"/>
        </w:rPr>
        <w:t xml:space="preserve">«Развитие комплексной системы обращения с твердыми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6617">
        <w:rPr>
          <w:rFonts w:ascii="Times New Roman" w:hAnsi="Times New Roman" w:cs="Times New Roman"/>
          <w:sz w:val="16"/>
          <w:szCs w:val="16"/>
        </w:rPr>
        <w:t xml:space="preserve">коммунальными отходами на территории Филипповского 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proofErr w:type="spellStart"/>
      <w:r w:rsidRPr="0026661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266617">
        <w:rPr>
          <w:rFonts w:ascii="Times New Roman" w:hAnsi="Times New Roman" w:cs="Times New Roman"/>
          <w:sz w:val="16"/>
          <w:szCs w:val="16"/>
        </w:rPr>
        <w:t xml:space="preserve"> района на 2020-2022 годы»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66617">
        <w:rPr>
          <w:rFonts w:ascii="Times New Roman" w:hAnsi="Times New Roman" w:cs="Times New Roman"/>
          <w:sz w:val="16"/>
          <w:szCs w:val="16"/>
        </w:rPr>
        <w:t>В целях обеспечения устойчивого экологического развития Филипповского  муниципального образования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№131-ФЗ "Об общих принципах организации местного самоуправления в Российской Федерации", руководствуясь 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утвержденном постановлением администрации</w:t>
      </w:r>
      <w:proofErr w:type="gramEnd"/>
      <w:r w:rsidRPr="00266617">
        <w:rPr>
          <w:rFonts w:ascii="Times New Roman" w:hAnsi="Times New Roman" w:cs="Times New Roman"/>
          <w:sz w:val="16"/>
          <w:szCs w:val="16"/>
        </w:rPr>
        <w:t xml:space="preserve"> от 30.03.2015г. №13,  статьями 23,46 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26661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266617">
        <w:rPr>
          <w:rFonts w:ascii="Times New Roman" w:hAnsi="Times New Roman" w:cs="Times New Roman"/>
          <w:sz w:val="16"/>
          <w:szCs w:val="16"/>
        </w:rPr>
        <w:t xml:space="preserve"> района 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1. Внести в муниципальную программу Филипповского муниципального образования  «Развитие комплексной системы обращения с твердыми   коммунальными отходами на территории Филипповского  муниципального образования </w:t>
      </w:r>
      <w:proofErr w:type="spellStart"/>
      <w:r w:rsidRPr="0026661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266617">
        <w:rPr>
          <w:rFonts w:ascii="Times New Roman" w:hAnsi="Times New Roman" w:cs="Times New Roman"/>
          <w:sz w:val="16"/>
          <w:szCs w:val="16"/>
        </w:rPr>
        <w:t xml:space="preserve"> района на 2020-2022 годы», утвержденную постановлением администрации Филипповского муниципального образования №19 от 28.02.2020 г.  (Далее - Программа) следующие изменения:</w:t>
      </w: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1.1. Наименование Программы изложить в новой редакции: «Развитие комплексной системы обращения с твердыми   коммунальными отходами на территории Филипповского  муниципального образования </w:t>
      </w:r>
      <w:proofErr w:type="spellStart"/>
      <w:r w:rsidRPr="0026661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266617">
        <w:rPr>
          <w:rFonts w:ascii="Times New Roman" w:hAnsi="Times New Roman" w:cs="Times New Roman"/>
          <w:sz w:val="16"/>
          <w:szCs w:val="16"/>
        </w:rPr>
        <w:t xml:space="preserve"> района» на 2020-2022 годы</w:t>
      </w: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1.2. Паспорт Программы изложить в новой редакции (Прилагается).</w:t>
      </w: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1.3. Приложение 1  к Программе изложить в новой редакции (Прилагается):</w:t>
      </w: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2. Настоящее постановление подлежит официальному опубликованию на сайте администрации Филипповского  муниципального образования и в периодическом издании органов местного самоуправления Филипповского муниципального образования «Информационный вестник».</w:t>
      </w: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после дня его официального опубликования.</w:t>
      </w: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266617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266617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</w:t>
      </w:r>
    </w:p>
    <w:p w:rsidR="00266617" w:rsidRPr="00266617" w:rsidRDefault="00266617" w:rsidP="002666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Глава администрации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6617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                                  А.А. Федосеев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6617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>от 18.09.2020г №45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66617">
        <w:rPr>
          <w:rFonts w:ascii="Times New Roman" w:hAnsi="Times New Roman" w:cs="Times New Roman"/>
          <w:b/>
          <w:bCs/>
          <w:sz w:val="16"/>
          <w:szCs w:val="16"/>
        </w:rPr>
        <w:t>Паспорт программы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66617">
        <w:rPr>
          <w:rFonts w:ascii="Times New Roman" w:hAnsi="Times New Roman" w:cs="Times New Roman"/>
          <w:b/>
          <w:bCs/>
          <w:sz w:val="16"/>
          <w:szCs w:val="16"/>
        </w:rPr>
        <w:t xml:space="preserve">«Развитие комплексной системы обращения с твёрдыми коммунальными отходами на территории Филипповского муниципального образования  </w:t>
      </w:r>
      <w:proofErr w:type="spellStart"/>
      <w:r w:rsidRPr="00266617">
        <w:rPr>
          <w:rFonts w:ascii="Times New Roman" w:hAnsi="Times New Roman" w:cs="Times New Roman"/>
          <w:b/>
          <w:bCs/>
          <w:sz w:val="16"/>
          <w:szCs w:val="16"/>
        </w:rPr>
        <w:t>Зиминского</w:t>
      </w:r>
      <w:proofErr w:type="spellEnd"/>
      <w:r w:rsidRPr="00266617">
        <w:rPr>
          <w:rFonts w:ascii="Times New Roman" w:hAnsi="Times New Roman" w:cs="Times New Roman"/>
          <w:b/>
          <w:bCs/>
          <w:sz w:val="16"/>
          <w:szCs w:val="16"/>
        </w:rPr>
        <w:t xml:space="preserve"> района» на 2020-2022 годы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00"/>
        <w:gridCol w:w="6605"/>
      </w:tblGrid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комплексной системы обращения с твёрдыми коммунальными отходами на </w:t>
            </w:r>
            <w:r w:rsidRPr="00266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Филипповского муниципального образования  </w:t>
            </w:r>
            <w:proofErr w:type="spellStart"/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266617">
              <w:rPr>
                <w:rFonts w:ascii="Times New Roman" w:hAnsi="Times New Roman" w:cs="Times New Roman"/>
                <w:sz w:val="16"/>
                <w:szCs w:val="16"/>
              </w:rPr>
              <w:t xml:space="preserve"> района на 2020-2022 годы»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 исполнитель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26661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Цель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 xml:space="preserve">Предотвращение вредного воздействия отходов на здоровье человека и окружающую среду на территории Филипповского муниципального образования </w:t>
            </w:r>
            <w:proofErr w:type="spellStart"/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266617">
              <w:rPr>
                <w:rFonts w:ascii="Times New Roman" w:hAnsi="Times New Roman" w:cs="Times New Roman"/>
                <w:sz w:val="16"/>
                <w:szCs w:val="16"/>
              </w:rPr>
              <w:t xml:space="preserve"> района 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Задача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Снижение негативного влияния отходов на состояние окружающей среды.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 xml:space="preserve">2020 - 2022 годы. Программа реализуется в один этап                                                    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Целевые показатели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 w:line="345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Строительство и обустройство контейнерных площадок. Очистка несанкционированных свалок.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Перечень основных мероприятий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Снижение негативного влияния отходов на состояние окружающей среды.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Прогнозная (справочная) оценка ресурсного обеспечения реализации программы</w:t>
            </w: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Общий объем финансирования по годам реализации составляет: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2020 год – 0 тыс. рублей;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2021 год – 22 тыс. рублей;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2022 год – 12 тыс. рублей.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за счет средств областного бюджета по годам реализации составляет: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2020 год – 0, тыс. рублей;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2021 год – 0 тыс. рублей;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2022 год – 0 тыс. рублей.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за счет средств местного бюджета по годам реализации составляет: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2020 год – 0 тыс. рублей;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2021 год – 22,0 тыс. рублей;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 w:line="345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2022 год – 12,0 тыс. руб.</w:t>
            </w:r>
          </w:p>
        </w:tc>
      </w:tr>
      <w:tr w:rsidR="00266617" w:rsidRPr="00266617" w:rsidTr="00366477">
        <w:trPr>
          <w:jc w:val="center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Ожидаемые конечные результаты реализации программы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-Строительство и обустройство контейнерных площадок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- Приобретение контейнеров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-Очистка несанкционированных свалок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- Повышение экологической культуры и степени вовлеченности населения в сферу безопасного обращения ТКО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-Улучшение  санитарного состояния территории Филипповского муниципального образования</w:t>
            </w:r>
          </w:p>
        </w:tc>
      </w:tr>
    </w:tbl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266617" w:rsidRPr="00266617" w:rsidRDefault="00266617" w:rsidP="0026661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266617">
        <w:rPr>
          <w:rFonts w:ascii="Times New Roman" w:hAnsi="Times New Roman" w:cs="Times New Roman"/>
          <w:sz w:val="16"/>
          <w:szCs w:val="16"/>
        </w:rPr>
        <w:t xml:space="preserve">к программе «Развитие комплексной системы обращения с твердыми   коммунальными отходами на территории Филипповского  муниципального образования </w:t>
      </w:r>
      <w:proofErr w:type="spellStart"/>
      <w:r w:rsidRPr="0026661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266617">
        <w:rPr>
          <w:rFonts w:ascii="Times New Roman" w:hAnsi="Times New Roman" w:cs="Times New Roman"/>
          <w:sz w:val="16"/>
          <w:szCs w:val="16"/>
        </w:rPr>
        <w:t xml:space="preserve"> района на 2020-2022 годы»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66617">
        <w:rPr>
          <w:rFonts w:ascii="Times New Roman" w:hAnsi="Times New Roman" w:cs="Times New Roman"/>
          <w:b/>
          <w:bCs/>
          <w:sz w:val="16"/>
          <w:szCs w:val="16"/>
        </w:rPr>
        <w:t>Перечень мероприятий муниципальной программы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66617">
        <w:rPr>
          <w:rFonts w:ascii="Times New Roman" w:hAnsi="Times New Roman" w:cs="Times New Roman"/>
          <w:b/>
          <w:bCs/>
          <w:sz w:val="16"/>
          <w:szCs w:val="16"/>
        </w:rPr>
        <w:t>«Развитие комплексной системы обращения с твёрдыми коммунальными отходами на территории Филипповского муниципального образования  на 2020-2022 годы»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 w:line="345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66617">
        <w:rPr>
          <w:rFonts w:ascii="Times New Roman" w:hAnsi="Times New Roman" w:cs="Times New Roman"/>
          <w:b/>
          <w:bCs/>
          <w:sz w:val="16"/>
          <w:szCs w:val="16"/>
        </w:rPr>
        <w:t>Прогнозная (справочная) оценка ресурсного обеспечения.</w:t>
      </w:r>
    </w:p>
    <w:p w:rsidR="00266617" w:rsidRPr="00266617" w:rsidRDefault="00266617" w:rsidP="00266617">
      <w:pPr>
        <w:widowControl w:val="0"/>
        <w:autoSpaceDE w:val="0"/>
        <w:autoSpaceDN w:val="0"/>
        <w:adjustRightInd w:val="0"/>
        <w:spacing w:after="0" w:line="345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68"/>
        <w:gridCol w:w="1775"/>
        <w:gridCol w:w="1001"/>
        <w:gridCol w:w="1734"/>
        <w:gridCol w:w="1825"/>
      </w:tblGrid>
      <w:tr w:rsidR="00266617" w:rsidRPr="00266617" w:rsidTr="00366477">
        <w:trPr>
          <w:jc w:val="center"/>
        </w:trPr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Мероприятие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Срок</w:t>
            </w:r>
          </w:p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исполнения</w:t>
            </w:r>
          </w:p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год</w:t>
            </w:r>
          </w:p>
        </w:tc>
        <w:tc>
          <w:tcPr>
            <w:tcW w:w="4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Объем финансирования,  тыс</w:t>
            </w:r>
            <w:proofErr w:type="gramStart"/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.р</w:t>
            </w:r>
            <w:proofErr w:type="gramEnd"/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уб.</w:t>
            </w:r>
          </w:p>
        </w:tc>
      </w:tr>
      <w:tr w:rsidR="00266617" w:rsidRPr="00266617" w:rsidTr="00366477">
        <w:trPr>
          <w:jc w:val="center"/>
        </w:trPr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Всего</w:t>
            </w:r>
          </w:p>
        </w:tc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Из них:</w:t>
            </w:r>
          </w:p>
        </w:tc>
      </w:tr>
      <w:tr w:rsidR="00266617" w:rsidRPr="00266617" w:rsidTr="00366477">
        <w:trPr>
          <w:jc w:val="center"/>
        </w:trPr>
        <w:tc>
          <w:tcPr>
            <w:tcW w:w="3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Средства местного бюджета</w:t>
            </w:r>
          </w:p>
        </w:tc>
      </w:tr>
      <w:tr w:rsidR="00266617" w:rsidRPr="00266617" w:rsidTr="00366477">
        <w:trPr>
          <w:jc w:val="center"/>
        </w:trPr>
        <w:tc>
          <w:tcPr>
            <w:tcW w:w="940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</w:tr>
      <w:tr w:rsidR="00266617" w:rsidRPr="00266617" w:rsidTr="00366477">
        <w:trPr>
          <w:jc w:val="center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Строительство и обустройство контейнерных площадок 3х2м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2021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10,0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10,0</w:t>
            </w:r>
          </w:p>
        </w:tc>
      </w:tr>
      <w:tr w:rsidR="00266617" w:rsidRPr="00266617" w:rsidTr="00366477">
        <w:trPr>
          <w:jc w:val="center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Приобретение контейнеров в количестве 11 штук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</w:p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2020</w:t>
            </w:r>
          </w:p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</w:tr>
      <w:tr w:rsidR="00266617" w:rsidRPr="00266617" w:rsidTr="00366477">
        <w:trPr>
          <w:trHeight w:val="450"/>
          <w:jc w:val="center"/>
        </w:trPr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Организация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и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проведение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публичных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мероприятий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посвященных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актуальной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проблеме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безопасного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обращения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ТКО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способствующих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экологическому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воспитанию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населения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</w:tr>
      <w:tr w:rsidR="00266617" w:rsidRPr="00266617" w:rsidTr="00366477">
        <w:trPr>
          <w:trHeight w:val="510"/>
          <w:jc w:val="center"/>
        </w:trPr>
        <w:tc>
          <w:tcPr>
            <w:tcW w:w="30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2,0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firstLine="567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2,0</w:t>
            </w:r>
          </w:p>
        </w:tc>
      </w:tr>
      <w:tr w:rsidR="00266617" w:rsidRPr="00266617" w:rsidTr="00366477">
        <w:trPr>
          <w:trHeight w:val="688"/>
          <w:jc w:val="center"/>
        </w:trPr>
        <w:tc>
          <w:tcPr>
            <w:tcW w:w="30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2,0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firstLine="567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2,0</w:t>
            </w:r>
          </w:p>
        </w:tc>
      </w:tr>
      <w:tr w:rsidR="00266617" w:rsidRPr="00266617" w:rsidTr="00366477">
        <w:trPr>
          <w:trHeight w:val="420"/>
          <w:jc w:val="center"/>
        </w:trPr>
        <w:tc>
          <w:tcPr>
            <w:tcW w:w="30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Мероприятия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по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сбору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и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утилизации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ТКО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с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несанкционированных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мест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размещения</w:t>
            </w:r>
            <w:r w:rsidR="00E81E5D">
              <w:rPr>
                <w:rFonts w:ascii="Times New Roman" w:hAnsi="Times New Roman" w:cs="Times New Roman"/>
                <w:kern w:val="32"/>
                <w:sz w:val="16"/>
                <w:szCs w:val="16"/>
              </w:rPr>
              <w:t xml:space="preserve"> </w:t>
            </w: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отходов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</w:tr>
      <w:tr w:rsidR="00266617" w:rsidRPr="00266617" w:rsidTr="00366477">
        <w:trPr>
          <w:trHeight w:val="435"/>
          <w:jc w:val="center"/>
        </w:trPr>
        <w:tc>
          <w:tcPr>
            <w:tcW w:w="30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10,0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10,0</w:t>
            </w:r>
          </w:p>
        </w:tc>
      </w:tr>
      <w:tr w:rsidR="00266617" w:rsidRPr="00266617" w:rsidTr="00366477">
        <w:trPr>
          <w:trHeight w:val="540"/>
          <w:jc w:val="center"/>
        </w:trPr>
        <w:tc>
          <w:tcPr>
            <w:tcW w:w="30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6617" w:rsidRPr="00266617" w:rsidRDefault="00266617" w:rsidP="003664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10,0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 w:cs="Times New Roman"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kern w:val="32"/>
                <w:sz w:val="16"/>
                <w:szCs w:val="16"/>
              </w:rPr>
              <w:t>10,0</w:t>
            </w:r>
          </w:p>
        </w:tc>
      </w:tr>
      <w:tr w:rsidR="00266617" w:rsidRPr="00266617" w:rsidTr="00366477">
        <w:trPr>
          <w:jc w:val="center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  <w:t>ИТОГО: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  <w:t>34,0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  <w:t>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6617" w:rsidRPr="00266617" w:rsidRDefault="00266617" w:rsidP="0036647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</w:pPr>
            <w:r w:rsidRPr="00266617"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  <w:t>34,0</w:t>
            </w:r>
          </w:p>
        </w:tc>
      </w:tr>
    </w:tbl>
    <w:p w:rsidR="00933B14" w:rsidRDefault="00933B14" w:rsidP="007E3A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E81E5D" w:rsidRPr="00E81E5D" w:rsidRDefault="00E81E5D" w:rsidP="00E81E5D">
      <w:pPr>
        <w:pStyle w:val="af6"/>
        <w:jc w:val="center"/>
        <w:rPr>
          <w:sz w:val="16"/>
          <w:szCs w:val="16"/>
        </w:rPr>
      </w:pPr>
      <w:r w:rsidRPr="00E81E5D">
        <w:rPr>
          <w:sz w:val="16"/>
          <w:szCs w:val="16"/>
        </w:rPr>
        <w:t>РОССИЙСКАЯ ФЕДЕРАЦИЯ</w:t>
      </w:r>
    </w:p>
    <w:p w:rsidR="00E81E5D" w:rsidRPr="00E81E5D" w:rsidRDefault="00E81E5D" w:rsidP="00E81E5D">
      <w:pPr>
        <w:pStyle w:val="af6"/>
        <w:jc w:val="center"/>
        <w:rPr>
          <w:sz w:val="16"/>
          <w:szCs w:val="16"/>
        </w:rPr>
      </w:pPr>
      <w:r w:rsidRPr="00E81E5D">
        <w:rPr>
          <w:sz w:val="16"/>
          <w:szCs w:val="16"/>
        </w:rPr>
        <w:t>ИРКУТСКАЯ ОБЛАСТЬ</w:t>
      </w:r>
    </w:p>
    <w:p w:rsidR="00E81E5D" w:rsidRPr="00E81E5D" w:rsidRDefault="00E81E5D" w:rsidP="00E81E5D">
      <w:pPr>
        <w:pStyle w:val="af6"/>
        <w:jc w:val="center"/>
        <w:rPr>
          <w:sz w:val="16"/>
          <w:szCs w:val="16"/>
        </w:rPr>
      </w:pPr>
      <w:r w:rsidRPr="00E81E5D">
        <w:rPr>
          <w:bCs/>
          <w:kern w:val="36"/>
          <w:sz w:val="16"/>
          <w:szCs w:val="16"/>
        </w:rPr>
        <w:lastRenderedPageBreak/>
        <w:t>ЗИМИНСКИЙ РАЙОН</w:t>
      </w:r>
    </w:p>
    <w:p w:rsidR="00E81E5D" w:rsidRPr="00E81E5D" w:rsidRDefault="00E81E5D" w:rsidP="00E81E5D">
      <w:pPr>
        <w:pStyle w:val="af6"/>
        <w:jc w:val="center"/>
        <w:rPr>
          <w:sz w:val="16"/>
          <w:szCs w:val="16"/>
        </w:rPr>
      </w:pPr>
      <w:r w:rsidRPr="00E81E5D">
        <w:rPr>
          <w:sz w:val="16"/>
          <w:szCs w:val="16"/>
        </w:rPr>
        <w:t>Администрация</w:t>
      </w:r>
    </w:p>
    <w:p w:rsidR="00E81E5D" w:rsidRPr="00E81E5D" w:rsidRDefault="00E81E5D" w:rsidP="00E81E5D">
      <w:pPr>
        <w:pStyle w:val="af6"/>
        <w:jc w:val="center"/>
        <w:rPr>
          <w:sz w:val="16"/>
          <w:szCs w:val="16"/>
        </w:rPr>
      </w:pPr>
      <w:r w:rsidRPr="00E81E5D">
        <w:rPr>
          <w:sz w:val="16"/>
          <w:szCs w:val="16"/>
        </w:rPr>
        <w:t>Филипповского муниципального образования</w:t>
      </w:r>
    </w:p>
    <w:p w:rsidR="00E81E5D" w:rsidRPr="00E81E5D" w:rsidRDefault="00E81E5D" w:rsidP="00E81E5D">
      <w:pPr>
        <w:pStyle w:val="af6"/>
        <w:ind w:firstLine="720"/>
        <w:jc w:val="center"/>
        <w:rPr>
          <w:b/>
          <w:sz w:val="16"/>
          <w:szCs w:val="16"/>
        </w:rPr>
      </w:pPr>
      <w:proofErr w:type="gramStart"/>
      <w:r w:rsidRPr="00E81E5D">
        <w:rPr>
          <w:b/>
          <w:sz w:val="16"/>
          <w:szCs w:val="16"/>
        </w:rPr>
        <w:t>П</w:t>
      </w:r>
      <w:proofErr w:type="gramEnd"/>
      <w:r w:rsidRPr="00E81E5D">
        <w:rPr>
          <w:b/>
          <w:sz w:val="16"/>
          <w:szCs w:val="16"/>
        </w:rPr>
        <w:t xml:space="preserve"> О С Т А Н О В Л Е Н И Е</w:t>
      </w:r>
    </w:p>
    <w:p w:rsidR="00E81E5D" w:rsidRPr="00E81E5D" w:rsidRDefault="00E81E5D" w:rsidP="00E81E5D">
      <w:pPr>
        <w:pStyle w:val="af6"/>
        <w:jc w:val="center"/>
        <w:rPr>
          <w:sz w:val="16"/>
          <w:szCs w:val="16"/>
        </w:rPr>
      </w:pPr>
      <w:r w:rsidRPr="00E81E5D">
        <w:rPr>
          <w:sz w:val="16"/>
          <w:szCs w:val="16"/>
        </w:rPr>
        <w:t xml:space="preserve">от «18» сентября 2020 г.                         с. </w:t>
      </w:r>
      <w:proofErr w:type="spellStart"/>
      <w:r w:rsidRPr="00E81E5D">
        <w:rPr>
          <w:sz w:val="16"/>
          <w:szCs w:val="16"/>
        </w:rPr>
        <w:t>Филипповск</w:t>
      </w:r>
      <w:proofErr w:type="spellEnd"/>
      <w:r w:rsidRPr="00E81E5D">
        <w:rPr>
          <w:color w:val="FF0000"/>
          <w:sz w:val="16"/>
          <w:szCs w:val="16"/>
        </w:rPr>
        <w:t xml:space="preserve">  </w:t>
      </w:r>
      <w:r w:rsidRPr="00E81E5D">
        <w:rPr>
          <w:sz w:val="16"/>
          <w:szCs w:val="16"/>
        </w:rPr>
        <w:t xml:space="preserve">                                           № 46</w:t>
      </w:r>
    </w:p>
    <w:p w:rsidR="00E81E5D" w:rsidRPr="00E81E5D" w:rsidRDefault="00E81E5D" w:rsidP="00E81E5D">
      <w:pPr>
        <w:pStyle w:val="ab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Об утверждении Основных направлений бюджетной и налоговой политики Филипповского муниципального образования</w:t>
      </w:r>
    </w:p>
    <w:p w:rsidR="00E81E5D" w:rsidRPr="00E81E5D" w:rsidRDefault="00E81E5D" w:rsidP="00E81E5D">
      <w:pPr>
        <w:pStyle w:val="ab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на 2021 год и на плановый период 2022 и 2023 годов</w:t>
      </w:r>
    </w:p>
    <w:p w:rsidR="00E81E5D" w:rsidRPr="00E81E5D" w:rsidRDefault="00E81E5D" w:rsidP="00E81E5D">
      <w:pPr>
        <w:pStyle w:val="af6"/>
        <w:ind w:firstLine="720"/>
        <w:rPr>
          <w:sz w:val="16"/>
          <w:szCs w:val="16"/>
        </w:rPr>
      </w:pPr>
      <w:r w:rsidRPr="00E81E5D">
        <w:rPr>
          <w:sz w:val="16"/>
          <w:szCs w:val="16"/>
        </w:rPr>
        <w:t xml:space="preserve"> </w:t>
      </w:r>
    </w:p>
    <w:p w:rsidR="00E81E5D" w:rsidRPr="00E81E5D" w:rsidRDefault="00E81E5D" w:rsidP="00E81E5D">
      <w:pPr>
        <w:pStyle w:val="a4"/>
        <w:tabs>
          <w:tab w:val="left" w:pos="0"/>
          <w:tab w:val="right" w:pos="9639"/>
        </w:tabs>
        <w:ind w:firstLine="73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В соответствии со ст. ст. 172, 184.2 Бюджетного Кодекса Российской Федерации, Положением о бюджетном процессе в Филипповском муниципальном образовании, утвержденным решением Думы Филипповского муниципального образования от 26.05.2016 г. № 121</w:t>
      </w:r>
      <w:r w:rsidRPr="00E81E5D">
        <w:rPr>
          <w:rFonts w:ascii="Times New Roman" w:hAnsi="Times New Roman" w:cs="Times New Roman"/>
          <w:color w:val="auto"/>
          <w:sz w:val="16"/>
          <w:szCs w:val="16"/>
        </w:rPr>
        <w:t>,</w:t>
      </w:r>
      <w:r w:rsidRPr="00E81E5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руководствуясь Уставом Филипповского муниципального образования,  администрация Филипповского муниципального образования </w:t>
      </w:r>
      <w:proofErr w:type="spellStart"/>
      <w:r w:rsidRPr="00E81E5D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 района</w:t>
      </w:r>
    </w:p>
    <w:p w:rsidR="00E81E5D" w:rsidRPr="00E81E5D" w:rsidRDefault="00E81E5D" w:rsidP="00E81E5D">
      <w:pPr>
        <w:pStyle w:val="af6"/>
        <w:ind w:firstLine="720"/>
        <w:rPr>
          <w:sz w:val="16"/>
          <w:szCs w:val="16"/>
        </w:rPr>
      </w:pPr>
    </w:p>
    <w:p w:rsidR="00E81E5D" w:rsidRPr="00E81E5D" w:rsidRDefault="00E81E5D" w:rsidP="00E81E5D">
      <w:pPr>
        <w:pStyle w:val="af6"/>
        <w:jc w:val="center"/>
        <w:rPr>
          <w:sz w:val="16"/>
          <w:szCs w:val="16"/>
        </w:rPr>
      </w:pPr>
      <w:r w:rsidRPr="00E81E5D">
        <w:rPr>
          <w:sz w:val="16"/>
          <w:szCs w:val="16"/>
        </w:rPr>
        <w:t>ПОСТАНОВЛЯЕТ:</w:t>
      </w:r>
    </w:p>
    <w:p w:rsidR="00E81E5D" w:rsidRPr="00E81E5D" w:rsidRDefault="00E81E5D" w:rsidP="00E81E5D">
      <w:pPr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"/>
      <w:r w:rsidRPr="00E81E5D">
        <w:rPr>
          <w:rFonts w:ascii="Times New Roman" w:hAnsi="Times New Roman" w:cs="Times New Roman"/>
          <w:sz w:val="16"/>
          <w:szCs w:val="16"/>
        </w:rPr>
        <w:t xml:space="preserve">Утвердить Основные направления бюджетной и налоговой политики Филипповского муниципального образования на 2021 год и на плановый период 2022 и 2023 годов согласно приложению </w:t>
      </w:r>
      <w:bookmarkStart w:id="1" w:name="sub_2"/>
      <w:bookmarkEnd w:id="0"/>
      <w:r w:rsidRPr="00E81E5D">
        <w:rPr>
          <w:rFonts w:ascii="Times New Roman" w:hAnsi="Times New Roman" w:cs="Times New Roman"/>
          <w:sz w:val="16"/>
          <w:szCs w:val="16"/>
        </w:rPr>
        <w:t>к настоящему постановлению.</w:t>
      </w:r>
    </w:p>
    <w:p w:rsidR="00E81E5D" w:rsidRDefault="00E81E5D" w:rsidP="00E81E5D">
      <w:pPr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 xml:space="preserve">Настоящее постановление подлежит официальному опубликованию </w:t>
      </w:r>
      <w:bookmarkStart w:id="2" w:name="sub_3"/>
      <w:bookmarkEnd w:id="1"/>
      <w:r w:rsidRPr="00E81E5D">
        <w:rPr>
          <w:rFonts w:ascii="Times New Roman" w:hAnsi="Times New Roman" w:cs="Times New Roman"/>
          <w:sz w:val="16"/>
          <w:szCs w:val="16"/>
        </w:rPr>
        <w:t xml:space="preserve">в периодическом печатном издании Филипповского муниципального образования «Информационный вестник» и размещению на официальном сайте администрации Филипповского муниципального образования </w:t>
      </w:r>
      <w:proofErr w:type="spellStart"/>
      <w:r w:rsidRPr="00E81E5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E81E5D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E81E5D" w:rsidRPr="00E81E5D" w:rsidRDefault="00E81E5D" w:rsidP="00C17D1E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E81E5D" w:rsidRPr="00E81E5D" w:rsidRDefault="00E81E5D" w:rsidP="00E81E5D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 xml:space="preserve"> Глава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1E5D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E81E5D">
        <w:rPr>
          <w:rFonts w:ascii="Times New Roman" w:hAnsi="Times New Roman" w:cs="Times New Roman"/>
          <w:sz w:val="16"/>
          <w:szCs w:val="16"/>
        </w:rPr>
        <w:tab/>
      </w:r>
      <w:r w:rsidRPr="00E81E5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А.А. Федосеев</w:t>
      </w:r>
    </w:p>
    <w:bookmarkEnd w:id="2"/>
    <w:p w:rsidR="00E81E5D" w:rsidRPr="00E81E5D" w:rsidRDefault="00E81E5D" w:rsidP="00F90E31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E81E5D" w:rsidRPr="00E81E5D" w:rsidRDefault="00E81E5D" w:rsidP="00E81E5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Приложение</w:t>
      </w:r>
    </w:p>
    <w:p w:rsidR="00E81E5D" w:rsidRPr="00E81E5D" w:rsidRDefault="00E81E5D" w:rsidP="00F90E31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к постановлению 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1E5D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 w:rsidR="00F90E31">
        <w:rPr>
          <w:rFonts w:ascii="Times New Roman" w:hAnsi="Times New Roman" w:cs="Times New Roman"/>
          <w:sz w:val="16"/>
          <w:szCs w:val="16"/>
        </w:rPr>
        <w:t xml:space="preserve"> </w:t>
      </w:r>
      <w:r w:rsidRPr="00E81E5D">
        <w:rPr>
          <w:rFonts w:ascii="Times New Roman" w:hAnsi="Times New Roman" w:cs="Times New Roman"/>
          <w:sz w:val="16"/>
          <w:szCs w:val="16"/>
        </w:rPr>
        <w:t xml:space="preserve"> от «18» сентября 2020 г. № 46</w:t>
      </w:r>
    </w:p>
    <w:p w:rsidR="00E81E5D" w:rsidRPr="00E81E5D" w:rsidRDefault="00E81E5D" w:rsidP="00F90E31">
      <w:pPr>
        <w:pStyle w:val="af6"/>
        <w:rPr>
          <w:spacing w:val="-2"/>
          <w:sz w:val="16"/>
          <w:szCs w:val="16"/>
        </w:rPr>
      </w:pPr>
    </w:p>
    <w:p w:rsidR="00E81E5D" w:rsidRPr="00E81E5D" w:rsidRDefault="00E81E5D" w:rsidP="00F90E3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Основные направления бюджетной и налоговой политики</w:t>
      </w:r>
      <w:r w:rsidR="00F90E31">
        <w:rPr>
          <w:rFonts w:ascii="Times New Roman" w:hAnsi="Times New Roman" w:cs="Times New Roman"/>
          <w:sz w:val="16"/>
          <w:szCs w:val="16"/>
        </w:rPr>
        <w:t xml:space="preserve"> </w:t>
      </w:r>
      <w:r w:rsidRPr="00E81E5D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E81E5D" w:rsidRPr="00E81E5D" w:rsidRDefault="00E81E5D" w:rsidP="00E81E5D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на 2021 год и на плановый период 2022 и 2023 годов</w:t>
      </w:r>
    </w:p>
    <w:p w:rsidR="00E81E5D" w:rsidRPr="00E81E5D" w:rsidRDefault="00E81E5D" w:rsidP="00E81E5D">
      <w:pPr>
        <w:pStyle w:val="af6"/>
        <w:ind w:firstLine="720"/>
        <w:rPr>
          <w:sz w:val="16"/>
          <w:szCs w:val="16"/>
        </w:rPr>
      </w:pP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Основные направления бюджетной и налоговой политики Филипповского муниципального образования определяют условия и подходы, используемые при составлении проекта бюджета Филипповского муниципального образования на 2021 год и на плановый период 2022 и 2023 годов (далее – местный бюджет, муниципальное образование).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b/>
          <w:color w:val="auto"/>
          <w:sz w:val="16"/>
          <w:szCs w:val="16"/>
        </w:rPr>
        <w:t>Бюджетная политика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Бюджетная политика реализуется на основе бюджетных принципов, установленных Бюджетным кодексом Российской Федерации.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81E5D">
        <w:rPr>
          <w:rFonts w:ascii="Times New Roman" w:hAnsi="Times New Roman" w:cs="Times New Roman"/>
          <w:color w:val="000000"/>
          <w:sz w:val="16"/>
          <w:szCs w:val="16"/>
        </w:rPr>
        <w:t>Бюджетная политика в период 2021-2023 годов сохраняет преемственность задач, определенных в предыдущие плановые периоды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 xml:space="preserve">Бюджетная политика в 2021 году и плановом периоде должна соответствовать критериям последовательности, реалистичности, эффективности и </w:t>
      </w:r>
      <w:proofErr w:type="spellStart"/>
      <w:r w:rsidRPr="00E81E5D">
        <w:rPr>
          <w:rFonts w:ascii="Times New Roman" w:hAnsi="Times New Roman" w:cs="Times New Roman"/>
          <w:sz w:val="16"/>
          <w:szCs w:val="16"/>
        </w:rPr>
        <w:t>адресности</w:t>
      </w:r>
      <w:proofErr w:type="spellEnd"/>
      <w:r w:rsidRPr="00E81E5D">
        <w:rPr>
          <w:rFonts w:ascii="Times New Roman" w:hAnsi="Times New Roman" w:cs="Times New Roman"/>
          <w:sz w:val="16"/>
          <w:szCs w:val="16"/>
        </w:rPr>
        <w:t>.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Основной целью бюджетной политики в период 2021-2023 годов является организация качественного управления муниципальными финансами для обеспечения сбалансированности и устойчивости местного бюджета, безусловного исполнения действующих и принимаемых обязательств наиболее эффективным способом. Данная цель будет достигаться через решение следующих задач.</w:t>
      </w:r>
    </w:p>
    <w:p w:rsidR="00E81E5D" w:rsidRPr="00E81E5D" w:rsidRDefault="00E81E5D" w:rsidP="00E81E5D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Совершенствование нормативно-правового регулирования бюджетного процесса в Филипповском муниципальном образовании.</w:t>
      </w:r>
    </w:p>
    <w:p w:rsidR="00E81E5D" w:rsidRPr="00E81E5D" w:rsidRDefault="00E81E5D" w:rsidP="00E81E5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Для решения данной задачи необходимо на постоянной основе осуществлять регулярный мониторинг, анализ нормативно-правовой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задачами, которые ставятся в ходе бюджетного процесса.</w:t>
      </w:r>
    </w:p>
    <w:p w:rsidR="00E81E5D" w:rsidRPr="00E81E5D" w:rsidRDefault="00E81E5D" w:rsidP="00E81E5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Результатом решения данной задачи является своевременная разработка и утверждение проектов муниципальных нормативно-правовых актов, регулирующих бюджетный процесс в муниципальном образовании, в соответствии с требованиями бюджетного законодательства Российской Федерации. </w:t>
      </w:r>
    </w:p>
    <w:p w:rsidR="00E81E5D" w:rsidRPr="00E81E5D" w:rsidRDefault="00E81E5D" w:rsidP="00E81E5D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Повышение качества муниципальных программ и расширение их использования в бюджетном планировании.</w:t>
      </w:r>
    </w:p>
    <w:p w:rsidR="00E81E5D" w:rsidRPr="00E81E5D" w:rsidRDefault="00E81E5D" w:rsidP="00E81E5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proofErr w:type="gramStart"/>
      <w:r w:rsidRPr="00E81E5D">
        <w:rPr>
          <w:rFonts w:ascii="Times New Roman" w:hAnsi="Times New Roman" w:cs="Times New Roman"/>
          <w:color w:val="auto"/>
          <w:sz w:val="16"/>
          <w:szCs w:val="16"/>
        </w:rPr>
        <w:t>В плановом периоде необходимо реализовать принцип формирования местного бюджета на основе муниципальных программ, что обеспечит взаимосвязь процесса исполнения местного бюджета с 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ассигнований на этапе их формирования, ответственность и самостоятельность главных распорядителей бюджетных средств и, в конечном счете, повысит эффективность бюджетных расходов.</w:t>
      </w:r>
      <w:proofErr w:type="gramEnd"/>
    </w:p>
    <w:p w:rsidR="00E81E5D" w:rsidRPr="00E81E5D" w:rsidRDefault="00E81E5D" w:rsidP="00E81E5D">
      <w:pPr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В ходе нового бюджетного процесса на плановый период необходимо чётко определить предельные возможности с точки зрения финансового обеспечения муниципальных программ. И, исходя из этих возможностей, также чётко определить те цели деятельности исполнительной власти муниципального образования, на которые достаточно финансов, достаточно мер регулирования, которые имеются в качестве инструментария главных администраторов средств местного бюджета. </w:t>
      </w:r>
    </w:p>
    <w:p w:rsidR="00E81E5D" w:rsidRPr="00E81E5D" w:rsidRDefault="00E81E5D" w:rsidP="00E81E5D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Обеспечение эффективности и результативности вложения бюджетных средств.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В рамках решения данной задачи будет продолжена работа по созданию стимулов для более рационального и экономного использования средств местного бюджета.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В целях оптимизации административных расходов местного бюджета ежегодно с 2006 года на уровень муниципального района передаются полномочия в части непосредственного составления проекта местного бюджета, организации исполнения местного бюджета, составления отчетов об его исполнении. Исполнение переданных полномочий делегировано Финансовому управлению </w:t>
      </w:r>
      <w:proofErr w:type="spellStart"/>
      <w:r w:rsidRPr="00E81E5D">
        <w:rPr>
          <w:rFonts w:ascii="Times New Roman" w:hAnsi="Times New Roman" w:cs="Times New Roman"/>
          <w:color w:val="auto"/>
          <w:sz w:val="16"/>
          <w:szCs w:val="16"/>
        </w:rPr>
        <w:t>Зиминского</w:t>
      </w:r>
      <w:proofErr w:type="spellEnd"/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 районного муниципального образования.  Также, полномочия по осуществлению внешнего муниципального финансового контроля передаются контрольно-счетному органу муниципального района. Исполнение на уровне муниципального </w:t>
      </w:r>
      <w:proofErr w:type="gramStart"/>
      <w:r w:rsidRPr="00E81E5D">
        <w:rPr>
          <w:rFonts w:ascii="Times New Roman" w:hAnsi="Times New Roman" w:cs="Times New Roman"/>
          <w:color w:val="auto"/>
          <w:sz w:val="16"/>
          <w:szCs w:val="16"/>
        </w:rPr>
        <w:t>района части полномочий органов местного самоуправления сельского поселения</w:t>
      </w:r>
      <w:proofErr w:type="gramEnd"/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 позволяет не только оптимизировать расходы местного бюджета, но и обеспечить качественное исполнение данных полномочий.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lastRenderedPageBreak/>
        <w:t xml:space="preserve">Кроме того, учет финансово-хозяйственной деятельности муниципальных учреждений поселения осуществляет </w:t>
      </w:r>
      <w:r w:rsidRPr="00E81E5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МКУ «Центр бухгалтерского учета </w:t>
      </w:r>
      <w:proofErr w:type="spellStart"/>
      <w:r w:rsidRPr="00E81E5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Зиминского</w:t>
      </w:r>
      <w:proofErr w:type="spellEnd"/>
      <w:r w:rsidRPr="00E81E5D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 xml:space="preserve"> района» в соответствии с ежегодно заключаемыми договорами о бухгалтерском обслуживании. Организация централизованного бухгалтерского учета позволяет осуществлять качественный учет финансовой деятельности муниципальных учреждений при минимальных затратах местного бюджета. 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Также органами местного самоуправления сельского поселения будет продолжена работа по оптимизации и перераспределению бюджетных ассигнований в пользу более эффективных и приоритетных расходных обязательств с учетом полученных результатов по реализации программных мероприятий.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Применение принципов нормирования в сфере закупок согласно требованиям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а также интеграция закупочного и бюджетного процессов также будут способствовать повышению эффективности, результативности использования бюджетных средств.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При формировании местного бюджета на 2021-2023 годы объемы бюджетных ассигнований должны определяться исходя из необходимости безусловного исполнения действующих расходных обязательств. Принятие решений по увеличению бюджетных ассигнований на исполнение действующих и (или) по установлению новых расходных обязательств должно производиться на основе сравнительной оценки их эффективности только в пределах финансовых ресурсов местного бюджета.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81E5D">
        <w:rPr>
          <w:rFonts w:ascii="Times New Roman" w:hAnsi="Times New Roman" w:cs="Times New Roman"/>
          <w:color w:val="000000"/>
          <w:sz w:val="16"/>
          <w:szCs w:val="16"/>
        </w:rPr>
        <w:t>При формировании объема и структуры расходов местного бюджета в 2021-2023 годах необходимо учитывать следующие первоочередные задачи: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- обеспечение деятельности муниципальных учреждений;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- реализация мероприятий муниципальных программ (</w:t>
      </w:r>
      <w:proofErr w:type="spellStart"/>
      <w:r w:rsidRPr="00E81E5D">
        <w:rPr>
          <w:rFonts w:ascii="Times New Roman" w:hAnsi="Times New Roman" w:cs="Times New Roman"/>
          <w:sz w:val="16"/>
          <w:szCs w:val="16"/>
        </w:rPr>
        <w:t>непрограммных</w:t>
      </w:r>
      <w:proofErr w:type="spellEnd"/>
      <w:r w:rsidRPr="00E81E5D">
        <w:rPr>
          <w:rFonts w:ascii="Times New Roman" w:hAnsi="Times New Roman" w:cs="Times New Roman"/>
          <w:sz w:val="16"/>
          <w:szCs w:val="16"/>
        </w:rPr>
        <w:t xml:space="preserve"> мероприятий), обеспечивающих достижение целевых показателей государственных программ и региональных проектов Иркутской области;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- продолжение реализации курса, заложенного в майских Указах Президента Российской Федерации 2012 года, в части повышения оплаты труда отдельным категориям работников;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- обеспечение работникам муниципальных учреждений уровня заработной платы не ниже установленного минимального </w:t>
      </w:r>
      <w:proofErr w:type="gramStart"/>
      <w:r w:rsidRPr="00E81E5D">
        <w:rPr>
          <w:rFonts w:ascii="Times New Roman" w:hAnsi="Times New Roman" w:cs="Times New Roman"/>
          <w:color w:val="auto"/>
          <w:sz w:val="16"/>
          <w:szCs w:val="16"/>
        </w:rPr>
        <w:t>размера оплаты труда</w:t>
      </w:r>
      <w:proofErr w:type="gramEnd"/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 с учётом начисления на него районных коэффициентов и процентной надбавки за стаж работы в районах Крайнего Севера и приравненных к ним местностях; 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обеспечение социальных гарантий и социальной защиты граждан, в отношении которых существуют расходные обязательства.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Важная роль в обеспечении устойчивости местного бюджета отводится снижению рисков неисполнения первоочередных социально-значимых обязательств.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Первоочередными социально-значимыми бюджетными расходами на 2021-2023 годы определяются: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выплата заработной платы с начислениями на нее;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уплата налогов и обязательных платежей;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оплата за услуги коммунального комплекса;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обеспечение социальных гарантий и социальной защиты граждан, в отношении которых существуют расходные обязательства;</w:t>
      </w:r>
    </w:p>
    <w:p w:rsidR="00E81E5D" w:rsidRPr="00E81E5D" w:rsidRDefault="00E81E5D" w:rsidP="00E81E5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исполнение мероприятий государственных программ и региональных проектов.</w:t>
      </w:r>
    </w:p>
    <w:p w:rsidR="00E81E5D" w:rsidRPr="00E81E5D" w:rsidRDefault="00E81E5D" w:rsidP="00E81E5D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Участие в государственных программах и региональных проектах.</w:t>
      </w:r>
    </w:p>
    <w:p w:rsidR="00E81E5D" w:rsidRPr="00E81E5D" w:rsidRDefault="00E81E5D" w:rsidP="00E81E5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В целях привлечения дополнительных финансовых ресурсов на исполнение расходных обязательств муниципального образования необходимо обеспечить активное участие муниципального образования в государственных программах Иркутской области и региональных проектах.</w:t>
      </w:r>
    </w:p>
    <w:p w:rsidR="00E81E5D" w:rsidRPr="00E81E5D" w:rsidRDefault="00E81E5D" w:rsidP="00E81E5D">
      <w:pPr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Принятые решения об участии в государственных программах Иркутской области и региональных проектах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местный бюджет – минимальной.</w:t>
      </w:r>
    </w:p>
    <w:p w:rsidR="00E81E5D" w:rsidRPr="00E81E5D" w:rsidRDefault="00E81E5D" w:rsidP="00E81E5D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Обеспечение прозрачности и открытости управления муниципальными финансами.</w:t>
      </w:r>
    </w:p>
    <w:p w:rsidR="00E81E5D" w:rsidRPr="00E81E5D" w:rsidRDefault="00E81E5D" w:rsidP="00E81E5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В рамках данного направления необходимо повысить объем и регулярность обновления общедоступной информации о муниципальных финансах на WEB-портале органов местного самоуправления муниципального образования, обеспечить публичность информации о плановых и фактических результатах деятельности организаций муниципального сектора и докладов об основных направлениях деятельности субъектов бюджетного планирования муниципального образования.</w:t>
      </w:r>
    </w:p>
    <w:p w:rsidR="00E81E5D" w:rsidRPr="00E81E5D" w:rsidRDefault="00E81E5D" w:rsidP="00E81E5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Обеспечение полного и доступного информирования населения муниципального образования о местном бюджете и отчетах о его исполнении, повышения открытости и прозрачности информации об управлении бюджетными средствами муниципального образования должно найти отражение на официальном сайте администрации муниципального образования.</w:t>
      </w:r>
    </w:p>
    <w:p w:rsidR="00E81E5D" w:rsidRPr="00E81E5D" w:rsidRDefault="00E81E5D" w:rsidP="00E81E5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С 1 января 2020 года в соответствии с законодательством Российской Федерации у финансового органа муниципального образования возникла обязанность по формированию и предоставлению информации о бюджетном процессе, её размещению на едином портале бюджетной системы </w:t>
      </w:r>
      <w:proofErr w:type="spellStart"/>
      <w:r w:rsidRPr="00E81E5D">
        <w:rPr>
          <w:rFonts w:ascii="Times New Roman" w:hAnsi="Times New Roman" w:cs="Times New Roman"/>
          <w:color w:val="auto"/>
          <w:sz w:val="16"/>
          <w:szCs w:val="16"/>
        </w:rPr>
        <w:t>budget.gov.ru</w:t>
      </w:r>
      <w:proofErr w:type="spellEnd"/>
      <w:r w:rsidRPr="00E81E5D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. </w:t>
      </w: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Присоединение органов местного самоуправления к работе </w:t>
      </w:r>
      <w:r w:rsidRPr="00E81E5D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в системе </w:t>
      </w:r>
      <w:r w:rsidRPr="00E81E5D">
        <w:rPr>
          <w:rFonts w:ascii="Times New Roman" w:hAnsi="Times New Roman" w:cs="Times New Roman"/>
          <w:color w:val="auto"/>
          <w:sz w:val="16"/>
          <w:szCs w:val="16"/>
        </w:rPr>
        <w:t>«</w:t>
      </w:r>
      <w:r w:rsidRPr="00E81E5D">
        <w:rPr>
          <w:rFonts w:ascii="Times New Roman" w:hAnsi="Times New Roman" w:cs="Times New Roman"/>
          <w:bCs/>
          <w:color w:val="auto"/>
          <w:sz w:val="16"/>
          <w:szCs w:val="16"/>
        </w:rPr>
        <w:t>Электронный бюджет</w:t>
      </w:r>
      <w:r w:rsidRPr="00E81E5D">
        <w:rPr>
          <w:rFonts w:ascii="Times New Roman" w:hAnsi="Times New Roman" w:cs="Times New Roman"/>
          <w:color w:val="auto"/>
          <w:sz w:val="16"/>
          <w:szCs w:val="16"/>
        </w:rPr>
        <w:t>» – это третий, завершающий этап процесса по созданию открытого бюджета: федеральные и региональные органы власти уже публикуют необходимые сведения на общедоступном портале.</w:t>
      </w:r>
    </w:p>
    <w:p w:rsidR="00E81E5D" w:rsidRPr="00E81E5D" w:rsidRDefault="00E81E5D" w:rsidP="00E81E5D">
      <w:pPr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Обеспечение сбалансированности бюджета и эффективное управление муниципальным долгом.</w:t>
      </w:r>
    </w:p>
    <w:p w:rsidR="00E81E5D" w:rsidRPr="00E81E5D" w:rsidRDefault="00E81E5D" w:rsidP="00E81E5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В рамках решения задачи необходимо обеспечить объем дефицита средств местного бюджета и объем муниципального долга в пределах, установленных бюджетным законодательством Российской Федерации.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В целях снижения дефицита бюджета необходимо осуществлять мероприятия, направленные на увеличение собственных доходов местного бюджета, дополнительные поступления по доходам направлять в первую очередь на снижение бюджетного дефицита.</w:t>
      </w:r>
    </w:p>
    <w:p w:rsidR="00E81E5D" w:rsidRPr="00E81E5D" w:rsidRDefault="00E81E5D" w:rsidP="00E81E5D">
      <w:pPr>
        <w:ind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Долговая политика в 2021-2023 годах будет направлена на решение ключевых задач по поддержанию умеренной долговой нагрузки, своевременному исполнению долговых обязательств и снижению расходов на обслуживание муниципального долга.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b/>
          <w:color w:val="auto"/>
          <w:sz w:val="16"/>
          <w:szCs w:val="16"/>
        </w:rPr>
        <w:t>Налоговая политика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Бюджетное и налоговое планирование неразрывно связаны между собой, так как налоги являются основным источником формирования доходов местного бюджета.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Налоговая политика выстраивается с учетом изменений налогового и бюджетного законодательства Российской Федерации, которое оказывает влияние на формирование доходной части местного бюджета.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В настоящее время остается высокая зависимость местного бюджета от финансовой помощи, поступающей из областного бюджета и бюджета муниципального района.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Основной целью налоговой политики </w:t>
      </w:r>
      <w:r w:rsidRPr="00E81E5D">
        <w:rPr>
          <w:rFonts w:ascii="Times New Roman" w:hAnsi="Times New Roman" w:cs="Times New Roman"/>
          <w:sz w:val="16"/>
          <w:szCs w:val="16"/>
        </w:rPr>
        <w:t xml:space="preserve">в 2021 году и плановом периоде является </w:t>
      </w:r>
      <w:r w:rsidRPr="00E81E5D">
        <w:rPr>
          <w:rFonts w:ascii="Times New Roman" w:hAnsi="Times New Roman" w:cs="Times New Roman"/>
          <w:color w:val="auto"/>
          <w:sz w:val="16"/>
          <w:szCs w:val="16"/>
        </w:rPr>
        <w:t>укрепление и развитие собственного налогового потенциала, поиск дополнительных доходных источников местного бюджета, повышение собираемости налогов и сборов.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lastRenderedPageBreak/>
        <w:t>Налоговая политика муниципального образования реализуется посредством: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1. Обеспечения качественного администрирования налоговых и неналоговых доходов.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Для этого будут продолжены следующие мероприятия: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повышение качества планирование доходов местного бюджета главными администраторами доходов бюджета;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усиление контроля главными администраторами доходов бюджета за выполнением плановых показателей доходов бюджета;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проведение целенаправленной и эффективной работы с федеральными, областными и местными администраторами доходов бюджета с целью выявления скрытых резервов, повышения уровня собираемости доходов, сокращения недоимки, усиления налоговой дисциплины.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2. Развития доходного потенциала муниципального образования.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В этом направлении продолжится работа </w:t>
      </w:r>
      <w:proofErr w:type="gramStart"/>
      <w:r w:rsidRPr="00E81E5D">
        <w:rPr>
          <w:rFonts w:ascii="Times New Roman" w:hAnsi="Times New Roman" w:cs="Times New Roman"/>
          <w:color w:val="auto"/>
          <w:sz w:val="16"/>
          <w:szCs w:val="16"/>
        </w:rPr>
        <w:t>по</w:t>
      </w:r>
      <w:proofErr w:type="gramEnd"/>
      <w:r w:rsidRPr="00E81E5D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осуществлению мониторинга платежей в местный бюджет в разрезе доходных источников;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- проведению ежегодной оценки социальной и бюджетной эффективности предоставленных льгот по местным налогам, проведению анализа налоговых расходов по местным налогам и принятие решений о целесообразности внесения изменений в муниципальные правовые акты, устанавливающие налоги на территории муниципального образования;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проведению комплекса мероприятий, направленных на снижение недоимки по платежам в бюджет;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проведению работы по мобилизации дополнительных доходов в местный бюджет;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проведению мероприятий по повышению налоговой грамотности населения муниципального образования;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проведению совместно с территориальными органами федеральных и региональных органов исполнительной власти мероприятий по легализации налогооблагаемой базы и обеспечения поступлений в местный бюджет, борьбе с «теневыми оборотами» в экономике, выявлению и пресечению нелегальной выплаты заработной платы работающего населения.</w:t>
      </w:r>
    </w:p>
    <w:p w:rsidR="00E81E5D" w:rsidRPr="00E81E5D" w:rsidRDefault="00E81E5D" w:rsidP="00E81E5D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E81E5D">
        <w:rPr>
          <w:rFonts w:ascii="Times New Roman" w:hAnsi="Times New Roman" w:cs="Times New Roman"/>
          <w:sz w:val="16"/>
          <w:szCs w:val="16"/>
        </w:rPr>
        <w:t>В период 2021-2023 годов необходимо соблюдать основные подходы к установлению новых налоговых льгот (</w:t>
      </w:r>
      <w:r w:rsidRPr="00E81E5D">
        <w:rPr>
          <w:rFonts w:ascii="Times New Roman" w:hAnsi="Times New Roman" w:cs="Times New Roman"/>
          <w:bCs/>
          <w:sz w:val="16"/>
          <w:szCs w:val="16"/>
        </w:rPr>
        <w:t xml:space="preserve">пониженных ставок) </w:t>
      </w:r>
      <w:r w:rsidRPr="00E81E5D">
        <w:rPr>
          <w:rFonts w:ascii="Times New Roman" w:hAnsi="Times New Roman" w:cs="Times New Roman"/>
          <w:sz w:val="16"/>
          <w:szCs w:val="16"/>
        </w:rPr>
        <w:t xml:space="preserve">по местным налогам. Обязательным элементом процесса введения новой налоговой льготы (установления </w:t>
      </w:r>
      <w:r w:rsidRPr="00E81E5D">
        <w:rPr>
          <w:rFonts w:ascii="Times New Roman" w:hAnsi="Times New Roman" w:cs="Times New Roman"/>
          <w:bCs/>
          <w:sz w:val="16"/>
          <w:szCs w:val="16"/>
        </w:rPr>
        <w:t>пониженных налоговых ставок)</w:t>
      </w:r>
      <w:r w:rsidRPr="00E81E5D">
        <w:rPr>
          <w:rFonts w:ascii="Times New Roman" w:hAnsi="Times New Roman" w:cs="Times New Roman"/>
          <w:sz w:val="16"/>
          <w:szCs w:val="16"/>
        </w:rPr>
        <w:t xml:space="preserve"> должна быть оценка их эффективности. 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При формировании доходной части местного бюджета на 2021 год и на плановый период 2022 и 2023 годов необходимо учитывать результаты оценки эффективности налоговых расходов муниципального образования, проведенной за 2019 год, по итогам которой действующие налоговые льготы в плановом периоде предлагается сохранить.</w:t>
      </w:r>
    </w:p>
    <w:p w:rsidR="00E81E5D" w:rsidRPr="00E81E5D" w:rsidRDefault="00E81E5D" w:rsidP="00E81E5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 Так, в настоящее время решениями Думы муниципального образования установлены следующие налоговые льготы по земельному налогу – освобождены от налогообложения организации, </w:t>
      </w:r>
      <w:r w:rsidRPr="00E81E5D">
        <w:rPr>
          <w:rFonts w:ascii="Times New Roman" w:hAnsi="Times New Roman" w:cs="Times New Roman"/>
          <w:sz w:val="16"/>
          <w:szCs w:val="16"/>
        </w:rPr>
        <w:t>полностью финансируемые за счет средств бюджета Филипповского муниципального образования</w:t>
      </w:r>
      <w:r w:rsidRPr="00E81E5D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3. Эффективное управление муниципальной собственностью.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С целью получения дополнительных доходов потребуется принятие мер, направленных на эффективное управление и распоряжение в сфере имущественных отношений на территории муниципального образования, включая работу </w:t>
      </w:r>
      <w:proofErr w:type="gramStart"/>
      <w:r w:rsidRPr="00E81E5D">
        <w:rPr>
          <w:rFonts w:ascii="Times New Roman" w:hAnsi="Times New Roman" w:cs="Times New Roman"/>
          <w:color w:val="auto"/>
          <w:sz w:val="16"/>
          <w:szCs w:val="16"/>
        </w:rPr>
        <w:t>по</w:t>
      </w:r>
      <w:proofErr w:type="gramEnd"/>
      <w:r w:rsidRPr="00E81E5D">
        <w:rPr>
          <w:rFonts w:ascii="Times New Roman" w:hAnsi="Times New Roman" w:cs="Times New Roman"/>
          <w:color w:val="auto"/>
          <w:sz w:val="16"/>
          <w:szCs w:val="16"/>
        </w:rPr>
        <w:t>: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обеспечению эффективности использования муниципального имущества, находящегося в собственности муниципального образования, посредством повышения качества контроля за его использованием, выявления неиспользуемого имущества и принятия мер, направленных на его реализацию или передачу в аренду;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>- осуществлению контроля за поступлением средств от использования муниципальной собственности;</w:t>
      </w:r>
    </w:p>
    <w:p w:rsidR="00E81E5D" w:rsidRPr="00E81E5D" w:rsidRDefault="00E81E5D" w:rsidP="00E81E5D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- проведению </w:t>
      </w:r>
      <w:proofErr w:type="spellStart"/>
      <w:r w:rsidRPr="00E81E5D">
        <w:rPr>
          <w:rFonts w:ascii="Times New Roman" w:hAnsi="Times New Roman" w:cs="Times New Roman"/>
          <w:color w:val="auto"/>
          <w:sz w:val="16"/>
          <w:szCs w:val="16"/>
        </w:rPr>
        <w:t>претензионно-исковой</w:t>
      </w:r>
      <w:proofErr w:type="spellEnd"/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 работы по взысканию задолженности по неналоговым доходам местного бюджета и предъявлению претензий за несвоевременное и некачественное исполнение договоров и муниципальных контрактов на оказание услуг или выполнение работ для муниципальных нужд.</w:t>
      </w:r>
    </w:p>
    <w:p w:rsidR="00787200" w:rsidRPr="00F90E31" w:rsidRDefault="00E81E5D" w:rsidP="00F90E31">
      <w:pPr>
        <w:ind w:firstLine="567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proofErr w:type="gramStart"/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При разработке проекта местного бюджета на 2021 год и на плановый период 2022 и 2023 годов необходимо учитывать положения, обозначенные Министерством финансов Российской Федерации в Основных направлениях бюджетной, налоговой и </w:t>
      </w:r>
      <w:proofErr w:type="spellStart"/>
      <w:r w:rsidRPr="00E81E5D">
        <w:rPr>
          <w:rFonts w:ascii="Times New Roman" w:hAnsi="Times New Roman" w:cs="Times New Roman"/>
          <w:color w:val="auto"/>
          <w:sz w:val="16"/>
          <w:szCs w:val="16"/>
        </w:rPr>
        <w:t>таможенно-тарифной</w:t>
      </w:r>
      <w:proofErr w:type="spellEnd"/>
      <w:r w:rsidRPr="00E81E5D">
        <w:rPr>
          <w:rFonts w:ascii="Times New Roman" w:hAnsi="Times New Roman" w:cs="Times New Roman"/>
          <w:color w:val="auto"/>
          <w:sz w:val="16"/>
          <w:szCs w:val="16"/>
        </w:rPr>
        <w:t xml:space="preserve"> политики и Министерством финансов Иркутской области в Основных направлениях бюджетной и налоговой политики Иркутской области на соответствующий период, а также изменения бюджетного и налогового законодательства.</w:t>
      </w:r>
      <w:proofErr w:type="gramEnd"/>
    </w:p>
    <w:p w:rsidR="00F90E31" w:rsidRDefault="00F90E31" w:rsidP="00F90E3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90E31" w:rsidRDefault="00F90E31" w:rsidP="00427F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F90E31" w:rsidRPr="00FE0FCF" w:rsidTr="00F90E31">
        <w:tc>
          <w:tcPr>
            <w:tcW w:w="2257" w:type="dxa"/>
          </w:tcPr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90E31" w:rsidRPr="00FE0FCF" w:rsidRDefault="00F90E31" w:rsidP="00F90E3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27F8F" w:rsidRPr="00427F8F" w:rsidRDefault="00427F8F" w:rsidP="00427F8F">
      <w:pPr>
        <w:sectPr w:rsidR="00427F8F" w:rsidRPr="00427F8F" w:rsidSect="00426D13">
          <w:headerReference w:type="default" r:id="rId9"/>
          <w:pgSz w:w="11907" w:h="16840" w:code="9"/>
          <w:pgMar w:top="1134" w:right="425" w:bottom="1134" w:left="567" w:header="720" w:footer="720" w:gutter="0"/>
          <w:cols w:space="720"/>
          <w:docGrid w:linePitch="381"/>
        </w:sectPr>
      </w:pPr>
    </w:p>
    <w:p w:rsidR="00632ADD" w:rsidRPr="00C34878" w:rsidRDefault="00632ADD" w:rsidP="00C34878">
      <w:pPr>
        <w:rPr>
          <w:rFonts w:ascii="Times New Roman" w:hAnsi="Times New Roman" w:cs="Times New Roman"/>
          <w:sz w:val="16"/>
          <w:szCs w:val="16"/>
        </w:rPr>
      </w:pPr>
    </w:p>
    <w:sectPr w:rsidR="00632ADD" w:rsidRPr="00C34878" w:rsidSect="00E753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B2" w:rsidRDefault="00F966B2" w:rsidP="00AC46A4">
      <w:pPr>
        <w:spacing w:after="0"/>
      </w:pPr>
      <w:r>
        <w:separator/>
      </w:r>
    </w:p>
  </w:endnote>
  <w:endnote w:type="continuationSeparator" w:id="0">
    <w:p w:rsidR="00F966B2" w:rsidRDefault="00F966B2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B2" w:rsidRDefault="00F966B2" w:rsidP="00AC46A4">
      <w:pPr>
        <w:spacing w:after="0"/>
      </w:pPr>
      <w:r>
        <w:separator/>
      </w:r>
    </w:p>
  </w:footnote>
  <w:footnote w:type="continuationSeparator" w:id="0">
    <w:p w:rsidR="00F966B2" w:rsidRDefault="00F966B2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14" w:rsidRDefault="00933B14" w:rsidP="00426D13">
    <w:pPr>
      <w:pStyle w:val="a4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>нформационный вестник   от 24.09.2020г №15(152)</w:t>
    </w:r>
  </w:p>
  <w:p w:rsidR="00933B14" w:rsidRDefault="00933B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14" w:rsidRDefault="00933B14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6"/>
  </w:num>
  <w:num w:numId="17">
    <w:abstractNumId w:val="22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8"/>
  </w:num>
  <w:num w:numId="23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686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10C64"/>
    <w:rsid w:val="000145B2"/>
    <w:rsid w:val="00025AE7"/>
    <w:rsid w:val="0004643A"/>
    <w:rsid w:val="00055209"/>
    <w:rsid w:val="00062881"/>
    <w:rsid w:val="000631D5"/>
    <w:rsid w:val="00070E69"/>
    <w:rsid w:val="000847BC"/>
    <w:rsid w:val="00091ECE"/>
    <w:rsid w:val="000943DC"/>
    <w:rsid w:val="000B483A"/>
    <w:rsid w:val="000B62D8"/>
    <w:rsid w:val="000C4012"/>
    <w:rsid w:val="000C7EAA"/>
    <w:rsid w:val="000E504F"/>
    <w:rsid w:val="000E5B97"/>
    <w:rsid w:val="001012A4"/>
    <w:rsid w:val="00104475"/>
    <w:rsid w:val="0012636C"/>
    <w:rsid w:val="00126E2E"/>
    <w:rsid w:val="00135C50"/>
    <w:rsid w:val="00135EAD"/>
    <w:rsid w:val="00145A4D"/>
    <w:rsid w:val="001614C2"/>
    <w:rsid w:val="00191F71"/>
    <w:rsid w:val="001A4AA2"/>
    <w:rsid w:val="001C3B45"/>
    <w:rsid w:val="001D60C0"/>
    <w:rsid w:val="002028A1"/>
    <w:rsid w:val="00205E06"/>
    <w:rsid w:val="00210B08"/>
    <w:rsid w:val="002530B5"/>
    <w:rsid w:val="00262CAD"/>
    <w:rsid w:val="00263227"/>
    <w:rsid w:val="00263AD5"/>
    <w:rsid w:val="00266617"/>
    <w:rsid w:val="00272403"/>
    <w:rsid w:val="0027415F"/>
    <w:rsid w:val="00284260"/>
    <w:rsid w:val="00286431"/>
    <w:rsid w:val="002A235D"/>
    <w:rsid w:val="002A4E86"/>
    <w:rsid w:val="002A5555"/>
    <w:rsid w:val="002B5CFB"/>
    <w:rsid w:val="002B623B"/>
    <w:rsid w:val="002D52E9"/>
    <w:rsid w:val="002D7434"/>
    <w:rsid w:val="002E696D"/>
    <w:rsid w:val="002F470F"/>
    <w:rsid w:val="002F59AB"/>
    <w:rsid w:val="002F69EA"/>
    <w:rsid w:val="0031750A"/>
    <w:rsid w:val="00322420"/>
    <w:rsid w:val="00323458"/>
    <w:rsid w:val="00326D04"/>
    <w:rsid w:val="00333D12"/>
    <w:rsid w:val="00355330"/>
    <w:rsid w:val="003559BB"/>
    <w:rsid w:val="00364F98"/>
    <w:rsid w:val="00383026"/>
    <w:rsid w:val="003A43AB"/>
    <w:rsid w:val="003B0E7B"/>
    <w:rsid w:val="003B30FC"/>
    <w:rsid w:val="003B5F4E"/>
    <w:rsid w:val="003C03CE"/>
    <w:rsid w:val="003C41A3"/>
    <w:rsid w:val="003D2DFC"/>
    <w:rsid w:val="003D526E"/>
    <w:rsid w:val="003D5A22"/>
    <w:rsid w:val="003E0C96"/>
    <w:rsid w:val="003F5BFA"/>
    <w:rsid w:val="0041112F"/>
    <w:rsid w:val="00414B7E"/>
    <w:rsid w:val="00426D13"/>
    <w:rsid w:val="00427DF0"/>
    <w:rsid w:val="00427F8F"/>
    <w:rsid w:val="004A031E"/>
    <w:rsid w:val="004A70DD"/>
    <w:rsid w:val="004B25EE"/>
    <w:rsid w:val="004B3AFB"/>
    <w:rsid w:val="004B489E"/>
    <w:rsid w:val="004D0021"/>
    <w:rsid w:val="004E0FA0"/>
    <w:rsid w:val="004F627A"/>
    <w:rsid w:val="004F7151"/>
    <w:rsid w:val="00500390"/>
    <w:rsid w:val="00503DBA"/>
    <w:rsid w:val="005171A1"/>
    <w:rsid w:val="0052161D"/>
    <w:rsid w:val="00526D5E"/>
    <w:rsid w:val="0053538B"/>
    <w:rsid w:val="0055134B"/>
    <w:rsid w:val="005536AC"/>
    <w:rsid w:val="00563273"/>
    <w:rsid w:val="0056480E"/>
    <w:rsid w:val="00564F7A"/>
    <w:rsid w:val="00566257"/>
    <w:rsid w:val="00566E42"/>
    <w:rsid w:val="00570B71"/>
    <w:rsid w:val="00573CA7"/>
    <w:rsid w:val="005927F1"/>
    <w:rsid w:val="005A540B"/>
    <w:rsid w:val="005C535B"/>
    <w:rsid w:val="005D5374"/>
    <w:rsid w:val="005D5A67"/>
    <w:rsid w:val="0060283A"/>
    <w:rsid w:val="006128BE"/>
    <w:rsid w:val="0061292E"/>
    <w:rsid w:val="00612B11"/>
    <w:rsid w:val="006141D7"/>
    <w:rsid w:val="0062248C"/>
    <w:rsid w:val="00632ADD"/>
    <w:rsid w:val="00640A42"/>
    <w:rsid w:val="00641C23"/>
    <w:rsid w:val="00667486"/>
    <w:rsid w:val="00672D9E"/>
    <w:rsid w:val="00676BF9"/>
    <w:rsid w:val="006932C1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162EF"/>
    <w:rsid w:val="00724503"/>
    <w:rsid w:val="007348A5"/>
    <w:rsid w:val="007533FD"/>
    <w:rsid w:val="00765DE7"/>
    <w:rsid w:val="00777EC1"/>
    <w:rsid w:val="00787200"/>
    <w:rsid w:val="007A4402"/>
    <w:rsid w:val="007B4FE0"/>
    <w:rsid w:val="007E3AD5"/>
    <w:rsid w:val="007E68A0"/>
    <w:rsid w:val="007F1643"/>
    <w:rsid w:val="007F18EE"/>
    <w:rsid w:val="007F77A0"/>
    <w:rsid w:val="00830F7C"/>
    <w:rsid w:val="00841C6B"/>
    <w:rsid w:val="00855A0D"/>
    <w:rsid w:val="00857178"/>
    <w:rsid w:val="00863D10"/>
    <w:rsid w:val="008824C5"/>
    <w:rsid w:val="00882B8F"/>
    <w:rsid w:val="008859B7"/>
    <w:rsid w:val="008870A5"/>
    <w:rsid w:val="008D40A7"/>
    <w:rsid w:val="008F0ED1"/>
    <w:rsid w:val="008F38E4"/>
    <w:rsid w:val="00900EED"/>
    <w:rsid w:val="009050FA"/>
    <w:rsid w:val="00933B14"/>
    <w:rsid w:val="00933BCC"/>
    <w:rsid w:val="009714FE"/>
    <w:rsid w:val="0098519F"/>
    <w:rsid w:val="009A282F"/>
    <w:rsid w:val="009B1C00"/>
    <w:rsid w:val="009B24E2"/>
    <w:rsid w:val="009B4124"/>
    <w:rsid w:val="009C0F0B"/>
    <w:rsid w:val="009D2CD6"/>
    <w:rsid w:val="009E2FA7"/>
    <w:rsid w:val="009F4EC1"/>
    <w:rsid w:val="009F5EBE"/>
    <w:rsid w:val="00A25249"/>
    <w:rsid w:val="00A35638"/>
    <w:rsid w:val="00A37C07"/>
    <w:rsid w:val="00A53040"/>
    <w:rsid w:val="00A75B30"/>
    <w:rsid w:val="00AA0D6E"/>
    <w:rsid w:val="00AA555B"/>
    <w:rsid w:val="00AC46A4"/>
    <w:rsid w:val="00AC582B"/>
    <w:rsid w:val="00AC5D51"/>
    <w:rsid w:val="00B07373"/>
    <w:rsid w:val="00B07A7C"/>
    <w:rsid w:val="00B177D9"/>
    <w:rsid w:val="00B24F9E"/>
    <w:rsid w:val="00B26054"/>
    <w:rsid w:val="00B43F73"/>
    <w:rsid w:val="00B447CB"/>
    <w:rsid w:val="00B77DBB"/>
    <w:rsid w:val="00B81943"/>
    <w:rsid w:val="00B855F0"/>
    <w:rsid w:val="00BA42EB"/>
    <w:rsid w:val="00BA62E4"/>
    <w:rsid w:val="00BA7959"/>
    <w:rsid w:val="00BD33F6"/>
    <w:rsid w:val="00BE652A"/>
    <w:rsid w:val="00C05B46"/>
    <w:rsid w:val="00C17D1E"/>
    <w:rsid w:val="00C26D8E"/>
    <w:rsid w:val="00C34878"/>
    <w:rsid w:val="00C36DD4"/>
    <w:rsid w:val="00C543CE"/>
    <w:rsid w:val="00C54E60"/>
    <w:rsid w:val="00C70F5B"/>
    <w:rsid w:val="00C714E6"/>
    <w:rsid w:val="00C85955"/>
    <w:rsid w:val="00C95E94"/>
    <w:rsid w:val="00CA4FCF"/>
    <w:rsid w:val="00CB6711"/>
    <w:rsid w:val="00CC0598"/>
    <w:rsid w:val="00CC7874"/>
    <w:rsid w:val="00CD4B1A"/>
    <w:rsid w:val="00CF22BE"/>
    <w:rsid w:val="00CF3639"/>
    <w:rsid w:val="00CF7154"/>
    <w:rsid w:val="00D03E51"/>
    <w:rsid w:val="00D34282"/>
    <w:rsid w:val="00D35C5A"/>
    <w:rsid w:val="00D533DF"/>
    <w:rsid w:val="00D57AE7"/>
    <w:rsid w:val="00DA3D52"/>
    <w:rsid w:val="00DF2AF0"/>
    <w:rsid w:val="00DF4D1C"/>
    <w:rsid w:val="00E12AE6"/>
    <w:rsid w:val="00E45797"/>
    <w:rsid w:val="00E45E0C"/>
    <w:rsid w:val="00E63E29"/>
    <w:rsid w:val="00E65345"/>
    <w:rsid w:val="00E67114"/>
    <w:rsid w:val="00E715AA"/>
    <w:rsid w:val="00E75375"/>
    <w:rsid w:val="00E77758"/>
    <w:rsid w:val="00E81E5D"/>
    <w:rsid w:val="00EA3A89"/>
    <w:rsid w:val="00EA4D15"/>
    <w:rsid w:val="00EC05D7"/>
    <w:rsid w:val="00EC3AD5"/>
    <w:rsid w:val="00EC5D88"/>
    <w:rsid w:val="00EE4EA7"/>
    <w:rsid w:val="00EE54ED"/>
    <w:rsid w:val="00F00553"/>
    <w:rsid w:val="00F031E1"/>
    <w:rsid w:val="00F07C38"/>
    <w:rsid w:val="00F260A6"/>
    <w:rsid w:val="00F2779E"/>
    <w:rsid w:val="00F4304C"/>
    <w:rsid w:val="00F454EF"/>
    <w:rsid w:val="00F90E31"/>
    <w:rsid w:val="00F91E05"/>
    <w:rsid w:val="00F966B2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99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semiHidden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71B2F6B-4B1E-482F-89D0-9EC4DFD1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14404</Words>
  <Characters>82107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2020-10-12T08:51:00Z</cp:lastPrinted>
  <dcterms:created xsi:type="dcterms:W3CDTF">2019-08-27T05:36:00Z</dcterms:created>
  <dcterms:modified xsi:type="dcterms:W3CDTF">2020-10-28T06:02:00Z</dcterms:modified>
</cp:coreProperties>
</file>